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5923" w14:textId="77777777" w:rsidR="006774F4" w:rsidRDefault="006774F4" w:rsidP="006774F4">
      <w:pPr>
        <w:spacing w:before="600" w:after="0" w:line="300" w:lineRule="auto"/>
        <w:jc w:val="center"/>
      </w:pPr>
      <w:r>
        <w:rPr>
          <w:noProof/>
        </w:rPr>
        <w:drawing>
          <wp:inline distT="0" distB="0" distL="0" distR="0" wp14:anchorId="46BA28A2" wp14:editId="6EB5B234">
            <wp:extent cx="3239770"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3239770" cy="477520"/>
                    </a:xfrm>
                    <a:prstGeom prst="rect">
                      <a:avLst/>
                    </a:prstGeom>
                    <a:noFill/>
                  </pic:spPr>
                </pic:pic>
              </a:graphicData>
            </a:graphic>
          </wp:inline>
        </w:drawing>
      </w:r>
    </w:p>
    <w:p w14:paraId="5659343C" w14:textId="77777777" w:rsidR="006774F4" w:rsidRDefault="006774F4" w:rsidP="006774F4">
      <w:pPr>
        <w:spacing w:before="520" w:after="230" w:line="300" w:lineRule="auto"/>
        <w:rPr>
          <w:b/>
          <w:bCs/>
          <w:caps/>
          <w:color w:val="5A7A9A"/>
          <w:spacing w:val="20"/>
          <w:sz w:val="21"/>
          <w:szCs w:val="21"/>
        </w:rPr>
      </w:pPr>
    </w:p>
    <w:p w14:paraId="3735B531" w14:textId="77777777" w:rsidR="006774F4" w:rsidRDefault="006774F4" w:rsidP="006774F4">
      <w:pPr>
        <w:spacing w:before="520" w:after="230" w:line="300" w:lineRule="auto"/>
        <w:jc w:val="center"/>
        <w:rPr>
          <w:b/>
          <w:bCs/>
          <w:caps/>
          <w:color w:val="5A7A9A"/>
          <w:spacing w:val="20"/>
          <w:sz w:val="21"/>
          <w:szCs w:val="21"/>
        </w:rPr>
      </w:pPr>
    </w:p>
    <w:p w14:paraId="2274F903" w14:textId="77777777" w:rsidR="006774F4" w:rsidRDefault="006774F4" w:rsidP="006774F4">
      <w:pPr>
        <w:spacing w:before="520" w:after="230" w:line="300" w:lineRule="auto"/>
        <w:jc w:val="center"/>
        <w:rPr>
          <w:b/>
          <w:bCs/>
          <w:caps/>
          <w:color w:val="5A7A9A"/>
          <w:spacing w:val="20"/>
          <w:sz w:val="21"/>
          <w:szCs w:val="21"/>
        </w:rPr>
      </w:pPr>
    </w:p>
    <w:p w14:paraId="7C81A441" w14:textId="77777777" w:rsidR="006774F4" w:rsidRDefault="006774F4" w:rsidP="006774F4">
      <w:pPr>
        <w:spacing w:before="520" w:after="230" w:line="300" w:lineRule="auto"/>
        <w:jc w:val="center"/>
        <w:rPr>
          <w:b/>
          <w:bCs/>
          <w:caps/>
          <w:color w:val="5A7A9A"/>
          <w:spacing w:val="20"/>
          <w:sz w:val="21"/>
          <w:szCs w:val="21"/>
        </w:rPr>
      </w:pPr>
    </w:p>
    <w:p w14:paraId="14874C59" w14:textId="77777777" w:rsidR="006774F4" w:rsidRPr="006774F4" w:rsidRDefault="006774F4" w:rsidP="006774F4">
      <w:pPr>
        <w:spacing w:before="520" w:after="230" w:line="300" w:lineRule="auto"/>
        <w:jc w:val="center"/>
        <w:rPr>
          <w:lang w:val="fr-FR"/>
        </w:rPr>
      </w:pPr>
      <w:r>
        <w:rPr>
          <w:b/>
          <w:bCs/>
          <w:caps/>
          <w:color w:val="5A7A9A"/>
          <w:spacing w:val="20"/>
          <w:sz w:val="21"/>
          <w:szCs w:val="21"/>
          <w:lang w:val="fr-CA"/>
        </w:rPr>
        <w:t>Un livre blanc de Clarity Builders</w:t>
      </w:r>
    </w:p>
    <w:p w14:paraId="2588BA31" w14:textId="77777777" w:rsidR="006774F4" w:rsidRPr="006774F4" w:rsidRDefault="006774F4" w:rsidP="006774F4">
      <w:pPr>
        <w:spacing w:after="70" w:line="240" w:lineRule="auto"/>
        <w:jc w:val="center"/>
        <w:rPr>
          <w:lang w:val="fr-FR"/>
        </w:rPr>
      </w:pPr>
      <w:r>
        <w:rPr>
          <w:b/>
          <w:bCs/>
          <w:color w:val="1B3A6B"/>
          <w:sz w:val="56"/>
          <w:szCs w:val="56"/>
          <w:lang w:val="fr-CA"/>
        </w:rPr>
        <w:t>Le coût de ne pas prendre</w:t>
      </w:r>
      <w:r>
        <w:rPr>
          <w:b/>
          <w:bCs/>
          <w:color w:val="1B3A6B"/>
          <w:sz w:val="56"/>
          <w:szCs w:val="56"/>
          <w:lang w:val="fr-CA"/>
        </w:rPr>
        <w:br/>
        <w:t>le virage numérique</w:t>
      </w:r>
    </w:p>
    <w:p w14:paraId="095BA4B3" w14:textId="77777777" w:rsidR="006774F4" w:rsidRPr="006774F4" w:rsidRDefault="006774F4" w:rsidP="006774F4">
      <w:pPr>
        <w:spacing w:before="200" w:after="80"/>
        <w:jc w:val="center"/>
        <w:rPr>
          <w:color w:val="5A7A9A"/>
          <w:sz w:val="20"/>
          <w:szCs w:val="20"/>
          <w:lang w:val="fr-FR"/>
        </w:rPr>
      </w:pPr>
    </w:p>
    <w:p w14:paraId="1BCA11AA" w14:textId="77777777" w:rsidR="006774F4" w:rsidRPr="006774F4" w:rsidRDefault="006774F4" w:rsidP="006774F4">
      <w:pPr>
        <w:spacing w:before="200" w:after="80"/>
        <w:jc w:val="center"/>
        <w:rPr>
          <w:color w:val="5A7A9A"/>
          <w:sz w:val="20"/>
          <w:szCs w:val="20"/>
          <w:lang w:val="fr-FR"/>
        </w:rPr>
      </w:pPr>
    </w:p>
    <w:p w14:paraId="321467CC" w14:textId="77777777" w:rsidR="006774F4" w:rsidRPr="006774F4" w:rsidRDefault="006774F4" w:rsidP="006774F4">
      <w:pPr>
        <w:spacing w:before="200" w:after="80"/>
        <w:jc w:val="center"/>
        <w:rPr>
          <w:color w:val="5A7A9A"/>
          <w:sz w:val="20"/>
          <w:szCs w:val="20"/>
          <w:lang w:val="fr-FR"/>
        </w:rPr>
      </w:pPr>
    </w:p>
    <w:p w14:paraId="53DECA0F" w14:textId="77777777" w:rsidR="006774F4" w:rsidRPr="006774F4" w:rsidRDefault="006774F4" w:rsidP="006774F4">
      <w:pPr>
        <w:spacing w:before="200" w:after="80"/>
        <w:jc w:val="center"/>
        <w:rPr>
          <w:color w:val="5A7A9A"/>
          <w:sz w:val="20"/>
          <w:szCs w:val="20"/>
          <w:lang w:val="fr-FR"/>
        </w:rPr>
      </w:pPr>
    </w:p>
    <w:p w14:paraId="24FA9032" w14:textId="77777777" w:rsidR="006774F4" w:rsidRPr="006774F4" w:rsidRDefault="006774F4" w:rsidP="006774F4">
      <w:pPr>
        <w:spacing w:before="200" w:after="80"/>
        <w:jc w:val="center"/>
        <w:rPr>
          <w:color w:val="5A7A9A"/>
          <w:sz w:val="20"/>
          <w:szCs w:val="20"/>
          <w:lang w:val="fr-FR"/>
        </w:rPr>
      </w:pPr>
    </w:p>
    <w:p w14:paraId="3B7A9379" w14:textId="77777777" w:rsidR="006774F4" w:rsidRPr="006774F4" w:rsidRDefault="006774F4" w:rsidP="006774F4">
      <w:pPr>
        <w:spacing w:before="200"/>
        <w:jc w:val="center"/>
        <w:rPr>
          <w:sz w:val="24"/>
          <w:szCs w:val="24"/>
          <w:lang w:val="fr-FR"/>
        </w:rPr>
      </w:pPr>
      <w:r>
        <w:rPr>
          <w:color w:val="5A7A9A"/>
          <w:sz w:val="24"/>
          <w:szCs w:val="24"/>
          <w:lang w:val="fr-CA"/>
        </w:rPr>
        <w:t xml:space="preserve">Août 2026   ·   Clarity </w:t>
      </w:r>
      <w:proofErr w:type="spellStart"/>
      <w:r>
        <w:rPr>
          <w:color w:val="5A7A9A"/>
          <w:sz w:val="24"/>
          <w:szCs w:val="24"/>
          <w:lang w:val="fr-CA"/>
        </w:rPr>
        <w:t>Builders</w:t>
      </w:r>
      <w:proofErr w:type="spellEnd"/>
      <w:r>
        <w:rPr>
          <w:color w:val="5A7A9A"/>
          <w:sz w:val="24"/>
          <w:szCs w:val="24"/>
          <w:lang w:val="fr-CA"/>
        </w:rPr>
        <w:t xml:space="preserve">, une société de </w:t>
      </w:r>
      <w:proofErr w:type="spellStart"/>
      <w:r>
        <w:rPr>
          <w:color w:val="5A7A9A"/>
          <w:sz w:val="24"/>
          <w:szCs w:val="24"/>
          <w:lang w:val="fr-CA"/>
        </w:rPr>
        <w:t>Publivate</w:t>
      </w:r>
      <w:proofErr w:type="spellEnd"/>
    </w:p>
    <w:p w14:paraId="68786378" w14:textId="77777777" w:rsidR="006774F4" w:rsidRPr="006774F4" w:rsidRDefault="006774F4" w:rsidP="006774F4">
      <w:pPr>
        <w:rPr>
          <w:lang w:val="fr-FR"/>
        </w:rPr>
      </w:pPr>
      <w:r w:rsidRPr="006774F4">
        <w:rPr>
          <w:lang w:val="fr-FR"/>
        </w:rPr>
        <w:br w:type="page"/>
      </w:r>
    </w:p>
    <w:tbl>
      <w:tblPr>
        <w:tblW w:w="10358" w:type="dxa"/>
        <w:tblLayout w:type="fixed"/>
        <w:tblCellMar>
          <w:top w:w="52" w:type="dxa"/>
          <w:left w:w="110" w:type="dxa"/>
          <w:bottom w:w="52" w:type="dxa"/>
          <w:right w:w="110" w:type="dxa"/>
        </w:tblCellMar>
        <w:tblLook w:val="0000" w:firstRow="0" w:lastRow="0" w:firstColumn="0" w:lastColumn="0" w:noHBand="0" w:noVBand="0"/>
      </w:tblPr>
      <w:tblGrid>
        <w:gridCol w:w="10005"/>
        <w:gridCol w:w="353"/>
      </w:tblGrid>
      <w:tr w:rsidR="006774F4" w14:paraId="32552949" w14:textId="77777777" w:rsidTr="00AA5586">
        <w:trPr>
          <w:cantSplit/>
        </w:trPr>
        <w:tc>
          <w:tcPr>
            <w:tcW w:w="10004" w:type="dxa"/>
            <w:shd w:val="clear" w:color="auto" w:fill="F2F4F7"/>
          </w:tcPr>
          <w:p w14:paraId="6D8CDC9D" w14:textId="77777777" w:rsidR="006774F4" w:rsidRDefault="006774F4" w:rsidP="00AA5586">
            <w:pPr>
              <w:pStyle w:val="TOC1"/>
              <w:pageBreakBefore/>
              <w:tabs>
                <w:tab w:val="right" w:leader="dot" w:pos="10230"/>
              </w:tabs>
              <w:jc w:val="center"/>
              <w:rPr>
                <w:b/>
                <w:bCs/>
              </w:rPr>
            </w:pPr>
            <w:r>
              <w:rPr>
                <w:b/>
                <w:bCs/>
                <w:lang w:val="fr-CA"/>
              </w:rPr>
              <w:lastRenderedPageBreak/>
              <w:t>Table des matières</w:t>
            </w:r>
          </w:p>
          <w:sdt>
            <w:sdtPr>
              <w:id w:val="2129887039"/>
              <w:docPartObj>
                <w:docPartGallery w:val="Table of Contents"/>
                <w:docPartUnique/>
              </w:docPartObj>
            </w:sdtPr>
            <w:sdtEndPr/>
            <w:sdtContent>
              <w:p w14:paraId="4FF87410" w14:textId="77777777" w:rsidR="006774F4" w:rsidRDefault="006774F4" w:rsidP="00AA5586">
                <w:pPr>
                  <w:pStyle w:val="TOC1"/>
                  <w:tabs>
                    <w:tab w:val="right" w:leader="dot" w:pos="9783"/>
                  </w:tabs>
                </w:pPr>
                <w:r>
                  <w:fldChar w:fldCharType="begin"/>
                </w:r>
                <w:r>
                  <w:rPr>
                    <w:rStyle w:val="IndexLink"/>
                    <w:webHidden/>
                  </w:rPr>
                  <w:instrText xml:space="preserve"> TOC \z \o "1-9" \u \h</w:instrText>
                </w:r>
                <w:r>
                  <w:rPr>
                    <w:rStyle w:val="IndexLink"/>
                  </w:rPr>
                  <w:fldChar w:fldCharType="separate"/>
                </w:r>
                <w:hyperlink w:anchor="__RefHeading___Toc4753_3048004937">
                  <w:r>
                    <w:rPr>
                      <w:rStyle w:val="IndexLink"/>
                      <w:webHidden/>
                    </w:rPr>
                    <w:t>1. Objet du présent livre blanc</w:t>
                  </w:r>
                  <w:r>
                    <w:rPr>
                      <w:rStyle w:val="IndexLink"/>
                      <w:webHidden/>
                    </w:rPr>
                    <w:tab/>
                    <w:t>7</w:t>
                  </w:r>
                </w:hyperlink>
              </w:p>
              <w:p w14:paraId="09895B90" w14:textId="77777777" w:rsidR="006774F4" w:rsidRDefault="006774F4" w:rsidP="00AA5586">
                <w:pPr>
                  <w:pStyle w:val="TOC2"/>
                  <w:tabs>
                    <w:tab w:val="right" w:leader="dot" w:pos="9783"/>
                  </w:tabs>
                </w:pPr>
                <w:hyperlink w:anchor="__RefHeading___Toc4755_3048004937">
                  <w:r>
                    <w:rPr>
                      <w:rStyle w:val="IndexLink"/>
                      <w:webHidden/>
                    </w:rPr>
                    <w:t>Résumé des constats du présent livre blanc</w:t>
                  </w:r>
                  <w:r>
                    <w:rPr>
                      <w:rStyle w:val="IndexLink"/>
                      <w:webHidden/>
                    </w:rPr>
                    <w:tab/>
                    <w:t>7</w:t>
                  </w:r>
                </w:hyperlink>
              </w:p>
              <w:p w14:paraId="758A5D4E" w14:textId="77777777" w:rsidR="006774F4" w:rsidRDefault="006774F4" w:rsidP="00AA5586">
                <w:pPr>
                  <w:pStyle w:val="TOC1"/>
                  <w:tabs>
                    <w:tab w:val="right" w:leader="dot" w:pos="9783"/>
                  </w:tabs>
                </w:pPr>
                <w:hyperlink w:anchor="__RefHeading___Toc4757_3048004937">
                  <w:r>
                    <w:rPr>
                      <w:rStyle w:val="IndexLink"/>
                      <w:webHidden/>
                    </w:rPr>
                    <w:t>2. Approche générale</w:t>
                  </w:r>
                  <w:r>
                    <w:rPr>
                      <w:rStyle w:val="IndexLink"/>
                      <w:webHidden/>
                    </w:rPr>
                    <w:tab/>
                    <w:t>8</w:t>
                  </w:r>
                </w:hyperlink>
              </w:p>
              <w:p w14:paraId="582A69CD" w14:textId="77777777" w:rsidR="006774F4" w:rsidRDefault="006774F4" w:rsidP="00AA5586">
                <w:pPr>
                  <w:pStyle w:val="TOC2"/>
                  <w:tabs>
                    <w:tab w:val="right" w:leader="dot" w:pos="9783"/>
                  </w:tabs>
                </w:pPr>
                <w:hyperlink w:anchor="__RefHeading___Toc4759_3048004937">
                  <w:r>
                    <w:rPr>
                      <w:rStyle w:val="IndexLink"/>
                      <w:webHidden/>
                    </w:rPr>
                    <w:t>Processus de sélection du registre</w:t>
                  </w:r>
                  <w:r>
                    <w:rPr>
                      <w:rStyle w:val="IndexLink"/>
                      <w:webHidden/>
                    </w:rPr>
                    <w:tab/>
                    <w:t>8</w:t>
                  </w:r>
                </w:hyperlink>
              </w:p>
              <w:p w14:paraId="6E29D009" w14:textId="77777777" w:rsidR="006774F4" w:rsidRDefault="006774F4" w:rsidP="00AA5586">
                <w:pPr>
                  <w:pStyle w:val="TOC2"/>
                  <w:tabs>
                    <w:tab w:val="right" w:leader="dot" w:pos="9783"/>
                  </w:tabs>
                </w:pPr>
                <w:hyperlink w:anchor="__RefHeading___Toc4761_3048004937">
                  <w:r>
                    <w:rPr>
                      <w:rStyle w:val="IndexLink"/>
                      <w:webHidden/>
                    </w:rPr>
                    <w:t>Inclusion de projets internationaux</w:t>
                  </w:r>
                  <w:r>
                    <w:rPr>
                      <w:rStyle w:val="IndexLink"/>
                      <w:webHidden/>
                    </w:rPr>
                    <w:tab/>
                    <w:t>8</w:t>
                  </w:r>
                </w:hyperlink>
              </w:p>
              <w:p w14:paraId="551EDF0E" w14:textId="77777777" w:rsidR="006774F4" w:rsidRDefault="006774F4" w:rsidP="00AA5586">
                <w:pPr>
                  <w:pStyle w:val="TOC2"/>
                  <w:tabs>
                    <w:tab w:val="right" w:leader="dot" w:pos="9783"/>
                  </w:tabs>
                </w:pPr>
                <w:hyperlink w:anchor="__RefHeading___Toc4763_3048004937">
                  <w:r>
                    <w:rPr>
                      <w:rStyle w:val="IndexLink"/>
                      <w:webHidden/>
                    </w:rPr>
                    <w:t>Sélection des projets</w:t>
                  </w:r>
                  <w:r>
                    <w:rPr>
                      <w:rStyle w:val="IndexLink"/>
                      <w:webHidden/>
                    </w:rPr>
                    <w:tab/>
                    <w:t>9</w:t>
                  </w:r>
                </w:hyperlink>
              </w:p>
              <w:p w14:paraId="1C600A9C" w14:textId="77777777" w:rsidR="006774F4" w:rsidRDefault="006774F4" w:rsidP="00AA5586">
                <w:pPr>
                  <w:pStyle w:val="TOC2"/>
                  <w:tabs>
                    <w:tab w:val="right" w:leader="dot" w:pos="9783"/>
                  </w:tabs>
                </w:pPr>
                <w:hyperlink w:anchor="__RefHeading___Toc4765_3048004937">
                  <w:r>
                    <w:rPr>
                      <w:rStyle w:val="IndexLink"/>
                      <w:webHidden/>
                    </w:rPr>
                    <w:t>Codage des projets</w:t>
                  </w:r>
                  <w:r>
                    <w:rPr>
                      <w:rStyle w:val="IndexLink"/>
                      <w:webHidden/>
                    </w:rPr>
                    <w:tab/>
                    <w:t>9</w:t>
                  </w:r>
                </w:hyperlink>
              </w:p>
              <w:p w14:paraId="2B83B314" w14:textId="77777777" w:rsidR="006774F4" w:rsidRDefault="006774F4" w:rsidP="00AA5586">
                <w:pPr>
                  <w:pStyle w:val="TOC2"/>
                  <w:tabs>
                    <w:tab w:val="right" w:leader="dot" w:pos="9783"/>
                  </w:tabs>
                </w:pPr>
                <w:hyperlink w:anchor="__RefHeading___Toc4767_3048004937">
                  <w:r>
                    <w:rPr>
                      <w:rStyle w:val="IndexLink"/>
                      <w:webHidden/>
                    </w:rPr>
                    <w:t>Structure des cas</w:t>
                  </w:r>
                  <w:r>
                    <w:rPr>
                      <w:rStyle w:val="IndexLink"/>
                      <w:webHidden/>
                    </w:rPr>
                    <w:tab/>
                    <w:t>11</w:t>
                  </w:r>
                </w:hyperlink>
              </w:p>
              <w:p w14:paraId="7679C6C7" w14:textId="77777777" w:rsidR="006774F4" w:rsidRDefault="006774F4" w:rsidP="00AA5586">
                <w:pPr>
                  <w:pStyle w:val="TOC1"/>
                  <w:tabs>
                    <w:tab w:val="right" w:leader="dot" w:pos="9783"/>
                  </w:tabs>
                </w:pPr>
                <w:hyperlink w:anchor="__RefHeading___Toc4769_3048004937">
                  <w:r>
                    <w:rPr>
                      <w:rStyle w:val="IndexLink"/>
                      <w:webHidden/>
                    </w:rPr>
                    <w:t>3. Les 15 cas canadiens</w:t>
                  </w:r>
                  <w:r>
                    <w:rPr>
                      <w:rStyle w:val="IndexLink"/>
                      <w:webHidden/>
                    </w:rPr>
                    <w:tab/>
                    <w:t>11</w:t>
                  </w:r>
                </w:hyperlink>
              </w:p>
              <w:p w14:paraId="38CBA931" w14:textId="77777777" w:rsidR="006774F4" w:rsidRDefault="006774F4" w:rsidP="00AA5586">
                <w:pPr>
                  <w:pStyle w:val="TOC1"/>
                  <w:tabs>
                    <w:tab w:val="right" w:leader="dot" w:pos="9783"/>
                  </w:tabs>
                </w:pPr>
                <w:hyperlink w:anchor="__RefHeading___Toc4771_3048004937">
                  <w:r>
                    <w:rPr>
                      <w:rStyle w:val="IndexLink"/>
                      <w:webHidden/>
                    </w:rPr>
                    <w:t>Cas 1. Train léger d’Ottawa, étape 1</w:t>
                  </w:r>
                  <w:r>
                    <w:rPr>
                      <w:rStyle w:val="IndexLink"/>
                      <w:webHidden/>
                    </w:rPr>
                    <w:tab/>
                    <w:t>12</w:t>
                  </w:r>
                </w:hyperlink>
              </w:p>
              <w:p w14:paraId="7826A207" w14:textId="77777777" w:rsidR="006774F4" w:rsidRDefault="006774F4" w:rsidP="00AA5586">
                <w:pPr>
                  <w:pStyle w:val="TOC2"/>
                  <w:tabs>
                    <w:tab w:val="right" w:leader="dot" w:pos="9783"/>
                  </w:tabs>
                </w:pPr>
                <w:hyperlink w:anchor="__RefHeading___Toc4773_3048004937">
                  <w:r>
                    <w:rPr>
                      <w:rStyle w:val="IndexLink"/>
                      <w:webHidden/>
                    </w:rPr>
                    <w:t>Ce qui s’est passé</w:t>
                  </w:r>
                  <w:r>
                    <w:rPr>
                      <w:rStyle w:val="IndexLink"/>
                      <w:webHidden/>
                    </w:rPr>
                    <w:tab/>
                    <w:t>13</w:t>
                  </w:r>
                </w:hyperlink>
              </w:p>
              <w:p w14:paraId="7D22CF97" w14:textId="77777777" w:rsidR="006774F4" w:rsidRDefault="006774F4" w:rsidP="00AA5586">
                <w:pPr>
                  <w:pStyle w:val="TOC2"/>
                  <w:tabs>
                    <w:tab w:val="right" w:leader="dot" w:pos="9783"/>
                  </w:tabs>
                </w:pPr>
                <w:hyperlink w:anchor="__RefHeading___Toc4775_3048004937">
                  <w:r>
                    <w:rPr>
                      <w:rStyle w:val="IndexLink"/>
                      <w:webHidden/>
                    </w:rPr>
                    <w:t>Constats du rapport</w:t>
                  </w:r>
                  <w:r>
                    <w:rPr>
                      <w:rStyle w:val="IndexLink"/>
                      <w:webHidden/>
                    </w:rPr>
                    <w:tab/>
                    <w:t>13</w:t>
                  </w:r>
                </w:hyperlink>
              </w:p>
              <w:p w14:paraId="3B82C72C" w14:textId="77777777" w:rsidR="006774F4" w:rsidRDefault="006774F4" w:rsidP="00AA5586">
                <w:pPr>
                  <w:pStyle w:val="TOC2"/>
                  <w:tabs>
                    <w:tab w:val="right" w:leader="dot" w:pos="9783"/>
                  </w:tabs>
                </w:pPr>
                <w:hyperlink w:anchor="__RefHeading___Toc4777_3048004937">
                  <w:r>
                    <w:rPr>
                      <w:rStyle w:val="IndexLink"/>
                      <w:webHidden/>
                    </w:rPr>
                    <w:t>Codes du projet</w:t>
                  </w:r>
                  <w:r>
                    <w:rPr>
                      <w:rStyle w:val="IndexLink"/>
                      <w:webHidden/>
                    </w:rPr>
                    <w:tab/>
                    <w:t>14</w:t>
                  </w:r>
                </w:hyperlink>
              </w:p>
              <w:p w14:paraId="231FAB71" w14:textId="77777777" w:rsidR="006774F4" w:rsidRDefault="006774F4" w:rsidP="00AA5586">
                <w:pPr>
                  <w:pStyle w:val="TOC2"/>
                  <w:tabs>
                    <w:tab w:val="right" w:leader="dot" w:pos="9783"/>
                  </w:tabs>
                </w:pPr>
                <w:hyperlink w:anchor="__RefHeading___Toc4779_3048004937">
                  <w:r>
                    <w:rPr>
                      <w:rStyle w:val="IndexLink"/>
                      <w:webHidden/>
                    </w:rPr>
                    <w:t>Ce qu’une intervention de Clarity Builders aurait permis d’aborder</w:t>
                  </w:r>
                  <w:r>
                    <w:rPr>
                      <w:rStyle w:val="IndexLink"/>
                      <w:webHidden/>
                    </w:rPr>
                    <w:tab/>
                    <w:t>14</w:t>
                  </w:r>
                </w:hyperlink>
              </w:p>
              <w:p w14:paraId="1100DA55" w14:textId="77777777" w:rsidR="006774F4" w:rsidRDefault="006774F4" w:rsidP="00AA5586">
                <w:pPr>
                  <w:pStyle w:val="TOC2"/>
                  <w:tabs>
                    <w:tab w:val="right" w:leader="dot" w:pos="9783"/>
                  </w:tabs>
                </w:pPr>
                <w:hyperlink w:anchor="__RefHeading___Toc4781_3048004937">
                  <w:r>
                    <w:rPr>
                      <w:rStyle w:val="IndexLink"/>
                      <w:webHidden/>
                    </w:rPr>
                    <w:t>Scénario illustratif</w:t>
                  </w:r>
                  <w:r>
                    <w:rPr>
                      <w:rStyle w:val="IndexLink"/>
                      <w:webHidden/>
                    </w:rPr>
                    <w:tab/>
                    <w:t>15</w:t>
                  </w:r>
                </w:hyperlink>
              </w:p>
              <w:p w14:paraId="68C49EE8" w14:textId="77777777" w:rsidR="006774F4" w:rsidRDefault="006774F4" w:rsidP="00AA5586">
                <w:pPr>
                  <w:pStyle w:val="TOC1"/>
                  <w:tabs>
                    <w:tab w:val="right" w:leader="dot" w:pos="9783"/>
                  </w:tabs>
                </w:pPr>
                <w:hyperlink w:anchor="__RefHeading___Toc4783_3048004937">
                  <w:r>
                    <w:rPr>
                      <w:rStyle w:val="IndexLink"/>
                      <w:webHidden/>
                    </w:rPr>
                    <w:t>Cas 2. Quartier général du Service de police de Winnipeg</w:t>
                  </w:r>
                  <w:r>
                    <w:rPr>
                      <w:rStyle w:val="IndexLink"/>
                      <w:webHidden/>
                    </w:rPr>
                    <w:tab/>
                    <w:t>15</w:t>
                  </w:r>
                </w:hyperlink>
              </w:p>
              <w:p w14:paraId="5A1114AE" w14:textId="77777777" w:rsidR="006774F4" w:rsidRDefault="006774F4" w:rsidP="00AA5586">
                <w:pPr>
                  <w:pStyle w:val="TOC2"/>
                  <w:tabs>
                    <w:tab w:val="right" w:leader="dot" w:pos="9783"/>
                  </w:tabs>
                </w:pPr>
                <w:hyperlink w:anchor="__RefHeading___Toc4785_3048004937">
                  <w:r>
                    <w:rPr>
                      <w:rStyle w:val="IndexLink"/>
                      <w:webHidden/>
                    </w:rPr>
                    <w:t>Ce qui s’est passé</w:t>
                  </w:r>
                  <w:r>
                    <w:rPr>
                      <w:rStyle w:val="IndexLink"/>
                      <w:webHidden/>
                    </w:rPr>
                    <w:tab/>
                    <w:t>16</w:t>
                  </w:r>
                </w:hyperlink>
              </w:p>
              <w:p w14:paraId="5C532E5A" w14:textId="77777777" w:rsidR="006774F4" w:rsidRDefault="006774F4" w:rsidP="00AA5586">
                <w:pPr>
                  <w:pStyle w:val="TOC2"/>
                  <w:tabs>
                    <w:tab w:val="right" w:leader="dot" w:pos="9783"/>
                  </w:tabs>
                </w:pPr>
                <w:hyperlink w:anchor="__RefHeading___Toc4787_3048004937">
                  <w:r>
                    <w:rPr>
                      <w:rStyle w:val="IndexLink"/>
                      <w:webHidden/>
                    </w:rPr>
                    <w:t>Constats du rapport</w:t>
                  </w:r>
                  <w:r>
                    <w:rPr>
                      <w:rStyle w:val="IndexLink"/>
                      <w:webHidden/>
                    </w:rPr>
                    <w:tab/>
                    <w:t>16</w:t>
                  </w:r>
                </w:hyperlink>
              </w:p>
              <w:p w14:paraId="7E26160C" w14:textId="77777777" w:rsidR="006774F4" w:rsidRDefault="006774F4" w:rsidP="00AA5586">
                <w:pPr>
                  <w:pStyle w:val="TOC2"/>
                  <w:tabs>
                    <w:tab w:val="right" w:leader="dot" w:pos="9783"/>
                  </w:tabs>
                </w:pPr>
                <w:hyperlink w:anchor="__RefHeading___Toc4789_3048004937">
                  <w:r>
                    <w:rPr>
                      <w:rStyle w:val="IndexLink"/>
                      <w:webHidden/>
                    </w:rPr>
                    <w:t>Codes du projet</w:t>
                  </w:r>
                  <w:r>
                    <w:rPr>
                      <w:rStyle w:val="IndexLink"/>
                      <w:webHidden/>
                    </w:rPr>
                    <w:tab/>
                    <w:t>16</w:t>
                  </w:r>
                </w:hyperlink>
              </w:p>
              <w:p w14:paraId="1628C505" w14:textId="77777777" w:rsidR="006774F4" w:rsidRDefault="006774F4" w:rsidP="00AA5586">
                <w:pPr>
                  <w:pStyle w:val="TOC2"/>
                  <w:tabs>
                    <w:tab w:val="right" w:leader="dot" w:pos="9783"/>
                  </w:tabs>
                </w:pPr>
                <w:hyperlink w:anchor="__RefHeading___Toc4791_3048004937">
                  <w:r>
                    <w:rPr>
                      <w:rStyle w:val="IndexLink"/>
                      <w:webHidden/>
                    </w:rPr>
                    <w:t>Ce qu’une intervention de Clarity Builders aurait permis d’aborder</w:t>
                  </w:r>
                  <w:r>
                    <w:rPr>
                      <w:rStyle w:val="IndexLink"/>
                      <w:webHidden/>
                    </w:rPr>
                    <w:tab/>
                    <w:t>17</w:t>
                  </w:r>
                </w:hyperlink>
              </w:p>
              <w:p w14:paraId="351B11A1" w14:textId="77777777" w:rsidR="006774F4" w:rsidRDefault="006774F4" w:rsidP="00AA5586">
                <w:pPr>
                  <w:pStyle w:val="TOC2"/>
                  <w:tabs>
                    <w:tab w:val="right" w:leader="dot" w:pos="9783"/>
                  </w:tabs>
                </w:pPr>
                <w:hyperlink w:anchor="__RefHeading___Toc4793_3048004937">
                  <w:r>
                    <w:rPr>
                      <w:rStyle w:val="IndexLink"/>
                      <w:webHidden/>
                    </w:rPr>
                    <w:t>Scénario illustratif</w:t>
                  </w:r>
                  <w:r>
                    <w:rPr>
                      <w:rStyle w:val="IndexLink"/>
                      <w:webHidden/>
                    </w:rPr>
                    <w:tab/>
                    <w:t>17</w:t>
                  </w:r>
                </w:hyperlink>
              </w:p>
              <w:p w14:paraId="6A802BE5" w14:textId="77777777" w:rsidR="006774F4" w:rsidRDefault="006774F4" w:rsidP="00AA5586">
                <w:pPr>
                  <w:pStyle w:val="TOC2"/>
                  <w:tabs>
                    <w:tab w:val="right" w:leader="dot" w:pos="9783"/>
                  </w:tabs>
                </w:pPr>
                <w:hyperlink w:anchor="__RefHeading___Toc4795_3048004937">
                  <w:r>
                    <w:rPr>
                      <w:rStyle w:val="IndexLink"/>
                      <w:webHidden/>
                    </w:rPr>
                    <w:t>Contrefactuel</w:t>
                  </w:r>
                  <w:r>
                    <w:rPr>
                      <w:rStyle w:val="IndexLink"/>
                      <w:webHidden/>
                    </w:rPr>
                    <w:tab/>
                    <w:t>18</w:t>
                  </w:r>
                </w:hyperlink>
              </w:p>
              <w:p w14:paraId="5220EB4C" w14:textId="77777777" w:rsidR="006774F4" w:rsidRDefault="006774F4" w:rsidP="00AA5586">
                <w:pPr>
                  <w:pStyle w:val="TOC1"/>
                  <w:tabs>
                    <w:tab w:val="right" w:leader="dot" w:pos="9783"/>
                  </w:tabs>
                </w:pPr>
                <w:hyperlink w:anchor="__RefHeading___Toc4797_3048004937">
                  <w:r>
                    <w:rPr>
                      <w:rStyle w:val="IndexLink"/>
                      <w:webHidden/>
                    </w:rPr>
                    <w:t>Cas 3. Toronto Community Housing</w:t>
                  </w:r>
                  <w:r>
                    <w:rPr>
                      <w:rStyle w:val="IndexLink"/>
                      <w:webHidden/>
                    </w:rPr>
                    <w:tab/>
                    <w:t>18</w:t>
                  </w:r>
                </w:hyperlink>
              </w:p>
              <w:p w14:paraId="53EFAD28" w14:textId="77777777" w:rsidR="006774F4" w:rsidRDefault="006774F4" w:rsidP="00AA5586">
                <w:pPr>
                  <w:pStyle w:val="TOC2"/>
                  <w:tabs>
                    <w:tab w:val="right" w:leader="dot" w:pos="9783"/>
                  </w:tabs>
                </w:pPr>
                <w:hyperlink w:anchor="__RefHeading___Toc4799_3048004937">
                  <w:r>
                    <w:rPr>
                      <w:rStyle w:val="IndexLink"/>
                      <w:webHidden/>
                    </w:rPr>
                    <w:t>Ce qui s’est passé</w:t>
                  </w:r>
                  <w:r>
                    <w:rPr>
                      <w:rStyle w:val="IndexLink"/>
                      <w:webHidden/>
                    </w:rPr>
                    <w:tab/>
                    <w:t>18</w:t>
                  </w:r>
                </w:hyperlink>
              </w:p>
              <w:p w14:paraId="2CD2BC9C" w14:textId="77777777" w:rsidR="006774F4" w:rsidRDefault="006774F4" w:rsidP="00AA5586">
                <w:pPr>
                  <w:pStyle w:val="TOC2"/>
                  <w:tabs>
                    <w:tab w:val="right" w:leader="dot" w:pos="9783"/>
                  </w:tabs>
                </w:pPr>
                <w:hyperlink w:anchor="__RefHeading___Toc4801_3048004937">
                  <w:r>
                    <w:rPr>
                      <w:rStyle w:val="IndexLink"/>
                      <w:webHidden/>
                    </w:rPr>
                    <w:t>Constats du rapport</w:t>
                  </w:r>
                  <w:r>
                    <w:rPr>
                      <w:rStyle w:val="IndexLink"/>
                      <w:webHidden/>
                    </w:rPr>
                    <w:tab/>
                    <w:t>19</w:t>
                  </w:r>
                </w:hyperlink>
              </w:p>
              <w:p w14:paraId="2B9A87C9" w14:textId="77777777" w:rsidR="006774F4" w:rsidRDefault="006774F4" w:rsidP="00AA5586">
                <w:pPr>
                  <w:pStyle w:val="TOC2"/>
                  <w:tabs>
                    <w:tab w:val="right" w:leader="dot" w:pos="9783"/>
                  </w:tabs>
                </w:pPr>
                <w:hyperlink w:anchor="__RefHeading___Toc4803_3048004937">
                  <w:r>
                    <w:rPr>
                      <w:rStyle w:val="IndexLink"/>
                      <w:webHidden/>
                    </w:rPr>
                    <w:t>Codes du projet</w:t>
                  </w:r>
                  <w:r>
                    <w:rPr>
                      <w:rStyle w:val="IndexLink"/>
                      <w:webHidden/>
                    </w:rPr>
                    <w:tab/>
                    <w:t>19</w:t>
                  </w:r>
                </w:hyperlink>
              </w:p>
              <w:p w14:paraId="6257FF10" w14:textId="77777777" w:rsidR="006774F4" w:rsidRDefault="006774F4" w:rsidP="00AA5586">
                <w:pPr>
                  <w:pStyle w:val="TOC2"/>
                  <w:tabs>
                    <w:tab w:val="right" w:leader="dot" w:pos="9783"/>
                  </w:tabs>
                </w:pPr>
                <w:hyperlink w:anchor="__RefHeading___Toc4805_3048004937">
                  <w:r>
                    <w:rPr>
                      <w:rStyle w:val="IndexLink"/>
                      <w:webHidden/>
                    </w:rPr>
                    <w:t>Ce qu’une intervention de Clarity Builders aurait permis d’aborder</w:t>
                  </w:r>
                  <w:r>
                    <w:rPr>
                      <w:rStyle w:val="IndexLink"/>
                      <w:webHidden/>
                    </w:rPr>
                    <w:tab/>
                    <w:t>20</w:t>
                  </w:r>
                </w:hyperlink>
              </w:p>
              <w:p w14:paraId="64E0E8DE" w14:textId="77777777" w:rsidR="006774F4" w:rsidRDefault="006774F4" w:rsidP="00AA5586">
                <w:pPr>
                  <w:pStyle w:val="TOC2"/>
                  <w:tabs>
                    <w:tab w:val="right" w:leader="dot" w:pos="9783"/>
                  </w:tabs>
                </w:pPr>
                <w:hyperlink w:anchor="__RefHeading___Toc4807_3048004937">
                  <w:r>
                    <w:rPr>
                      <w:rStyle w:val="IndexLink"/>
                      <w:webHidden/>
                    </w:rPr>
                    <w:t>Scénario illustratif</w:t>
                  </w:r>
                  <w:r>
                    <w:rPr>
                      <w:rStyle w:val="IndexLink"/>
                      <w:webHidden/>
                    </w:rPr>
                    <w:tab/>
                    <w:t>20</w:t>
                  </w:r>
                </w:hyperlink>
              </w:p>
              <w:p w14:paraId="2352879C" w14:textId="77777777" w:rsidR="006774F4" w:rsidRDefault="006774F4" w:rsidP="00AA5586">
                <w:pPr>
                  <w:pStyle w:val="TOC2"/>
                  <w:tabs>
                    <w:tab w:val="right" w:leader="dot" w:pos="9783"/>
                  </w:tabs>
                </w:pPr>
                <w:hyperlink w:anchor="__RefHeading___Toc4809_3048004937">
                  <w:r>
                    <w:rPr>
                      <w:rStyle w:val="IndexLink"/>
                      <w:webHidden/>
                    </w:rPr>
                    <w:t>Contrefactuel</w:t>
                  </w:r>
                  <w:r>
                    <w:rPr>
                      <w:rStyle w:val="IndexLink"/>
                      <w:webHidden/>
                    </w:rPr>
                    <w:tab/>
                    <w:t>20</w:t>
                  </w:r>
                </w:hyperlink>
              </w:p>
              <w:p w14:paraId="302921EC" w14:textId="77777777" w:rsidR="006774F4" w:rsidRDefault="006774F4" w:rsidP="00AA5586">
                <w:pPr>
                  <w:pStyle w:val="TOC1"/>
                  <w:tabs>
                    <w:tab w:val="right" w:leader="dot" w:pos="9783"/>
                  </w:tabs>
                </w:pPr>
                <w:hyperlink w:anchor="__RefHeading___Toc4811_3048004937">
                  <w:r>
                    <w:rPr>
                      <w:rStyle w:val="IndexLink"/>
                      <w:webHidden/>
                    </w:rPr>
                    <w:t>Cas 4. Hôpital territorial Stanton</w:t>
                  </w:r>
                  <w:r>
                    <w:rPr>
                      <w:rStyle w:val="IndexLink"/>
                      <w:webHidden/>
                    </w:rPr>
                    <w:tab/>
                    <w:t>20</w:t>
                  </w:r>
                </w:hyperlink>
              </w:p>
              <w:p w14:paraId="350721B1" w14:textId="77777777" w:rsidR="006774F4" w:rsidRDefault="006774F4" w:rsidP="00AA5586">
                <w:pPr>
                  <w:pStyle w:val="TOC2"/>
                  <w:tabs>
                    <w:tab w:val="right" w:leader="dot" w:pos="9783"/>
                  </w:tabs>
                </w:pPr>
                <w:hyperlink w:anchor="__RefHeading___Toc4813_3048004937">
                  <w:r>
                    <w:rPr>
                      <w:rStyle w:val="IndexLink"/>
                      <w:webHidden/>
                    </w:rPr>
                    <w:t>Ce qui s’est passé</w:t>
                  </w:r>
                  <w:r>
                    <w:rPr>
                      <w:rStyle w:val="IndexLink"/>
                      <w:webHidden/>
                    </w:rPr>
                    <w:tab/>
                    <w:t>21</w:t>
                  </w:r>
                </w:hyperlink>
              </w:p>
              <w:p w14:paraId="6DA45DA9" w14:textId="77777777" w:rsidR="006774F4" w:rsidRDefault="006774F4" w:rsidP="00AA5586">
                <w:pPr>
                  <w:pStyle w:val="TOC2"/>
                  <w:tabs>
                    <w:tab w:val="right" w:leader="dot" w:pos="9783"/>
                  </w:tabs>
                </w:pPr>
                <w:hyperlink w:anchor="__RefHeading___Toc4815_3048004937">
                  <w:r>
                    <w:rPr>
                      <w:rStyle w:val="IndexLink"/>
                      <w:webHidden/>
                    </w:rPr>
                    <w:t>Constats du rapport</w:t>
                  </w:r>
                  <w:r>
                    <w:rPr>
                      <w:rStyle w:val="IndexLink"/>
                      <w:webHidden/>
                    </w:rPr>
                    <w:tab/>
                    <w:t>21</w:t>
                  </w:r>
                </w:hyperlink>
              </w:p>
              <w:p w14:paraId="55AA1ED8" w14:textId="77777777" w:rsidR="006774F4" w:rsidRDefault="006774F4" w:rsidP="00AA5586">
                <w:pPr>
                  <w:pStyle w:val="TOC2"/>
                  <w:tabs>
                    <w:tab w:val="right" w:leader="dot" w:pos="9783"/>
                  </w:tabs>
                </w:pPr>
                <w:hyperlink w:anchor="__RefHeading___Toc4817_3048004937">
                  <w:r>
                    <w:rPr>
                      <w:rStyle w:val="IndexLink"/>
                      <w:webHidden/>
                    </w:rPr>
                    <w:t>Codes du projet</w:t>
                  </w:r>
                  <w:r>
                    <w:rPr>
                      <w:rStyle w:val="IndexLink"/>
                      <w:webHidden/>
                    </w:rPr>
                    <w:tab/>
                    <w:t>22</w:t>
                  </w:r>
                </w:hyperlink>
              </w:p>
              <w:p w14:paraId="7A6E2772" w14:textId="77777777" w:rsidR="006774F4" w:rsidRDefault="006774F4" w:rsidP="00AA5586">
                <w:pPr>
                  <w:pStyle w:val="TOC2"/>
                  <w:tabs>
                    <w:tab w:val="right" w:leader="dot" w:pos="9783"/>
                  </w:tabs>
                </w:pPr>
                <w:hyperlink w:anchor="__RefHeading___Toc4819_3048004937">
                  <w:r>
                    <w:rPr>
                      <w:rStyle w:val="IndexLink"/>
                      <w:webHidden/>
                    </w:rPr>
                    <w:t>Ce qu’une intervention de Clarity Builders aurait permis d’aborder</w:t>
                  </w:r>
                  <w:r>
                    <w:rPr>
                      <w:rStyle w:val="IndexLink"/>
                      <w:webHidden/>
                    </w:rPr>
                    <w:tab/>
                    <w:t>22</w:t>
                  </w:r>
                </w:hyperlink>
              </w:p>
              <w:p w14:paraId="6EEC3E97" w14:textId="77777777" w:rsidR="006774F4" w:rsidRDefault="006774F4" w:rsidP="00AA5586">
                <w:pPr>
                  <w:pStyle w:val="TOC2"/>
                  <w:tabs>
                    <w:tab w:val="right" w:leader="dot" w:pos="9783"/>
                  </w:tabs>
                </w:pPr>
                <w:hyperlink w:anchor="__RefHeading___Toc4821_3048004937">
                  <w:r>
                    <w:rPr>
                      <w:rStyle w:val="IndexLink"/>
                      <w:webHidden/>
                    </w:rPr>
                    <w:t>Scénario illustratif</w:t>
                  </w:r>
                  <w:r>
                    <w:rPr>
                      <w:rStyle w:val="IndexLink"/>
                      <w:webHidden/>
                    </w:rPr>
                    <w:tab/>
                    <w:t>23</w:t>
                  </w:r>
                </w:hyperlink>
              </w:p>
              <w:p w14:paraId="782A228F" w14:textId="77777777" w:rsidR="006774F4" w:rsidRDefault="006774F4" w:rsidP="00AA5586">
                <w:pPr>
                  <w:pStyle w:val="TOC2"/>
                  <w:tabs>
                    <w:tab w:val="right" w:leader="dot" w:pos="9783"/>
                  </w:tabs>
                </w:pPr>
                <w:hyperlink w:anchor="__RefHeading___Toc4823_3048004937">
                  <w:r>
                    <w:rPr>
                      <w:rStyle w:val="IndexLink"/>
                      <w:webHidden/>
                    </w:rPr>
                    <w:t>Contrefactuel</w:t>
                  </w:r>
                  <w:r>
                    <w:rPr>
                      <w:rStyle w:val="IndexLink"/>
                      <w:webHidden/>
                    </w:rPr>
                    <w:tab/>
                    <w:t>23</w:t>
                  </w:r>
                </w:hyperlink>
              </w:p>
              <w:p w14:paraId="037CC3F6" w14:textId="77777777" w:rsidR="006774F4" w:rsidRDefault="006774F4" w:rsidP="00AA5586">
                <w:pPr>
                  <w:pStyle w:val="TOC1"/>
                  <w:tabs>
                    <w:tab w:val="right" w:leader="dot" w:pos="9783"/>
                  </w:tabs>
                </w:pPr>
                <w:hyperlink w:anchor="__RefHeading___Toc4825_3048004937">
                  <w:r>
                    <w:rPr>
                      <w:rStyle w:val="IndexLink"/>
                      <w:webHidden/>
                    </w:rPr>
                    <w:t>Cas 5. Le portefeuille fédéral de locaux à bureaux</w:t>
                  </w:r>
                  <w:r>
                    <w:rPr>
                      <w:rStyle w:val="IndexLink"/>
                      <w:webHidden/>
                    </w:rPr>
                    <w:tab/>
                    <w:t>23</w:t>
                  </w:r>
                </w:hyperlink>
              </w:p>
              <w:p w14:paraId="64765928" w14:textId="77777777" w:rsidR="006774F4" w:rsidRDefault="006774F4" w:rsidP="00AA5586">
                <w:pPr>
                  <w:pStyle w:val="TOC2"/>
                  <w:tabs>
                    <w:tab w:val="right" w:leader="dot" w:pos="9783"/>
                  </w:tabs>
                </w:pPr>
                <w:hyperlink w:anchor="__RefHeading___Toc4827_3048004937">
                  <w:r>
                    <w:rPr>
                      <w:rStyle w:val="IndexLink"/>
                      <w:webHidden/>
                    </w:rPr>
                    <w:t>Ce qui s’est passé</w:t>
                  </w:r>
                  <w:r>
                    <w:rPr>
                      <w:rStyle w:val="IndexLink"/>
                      <w:webHidden/>
                    </w:rPr>
                    <w:tab/>
                    <w:t>24</w:t>
                  </w:r>
                </w:hyperlink>
              </w:p>
              <w:p w14:paraId="2B47347D" w14:textId="77777777" w:rsidR="006774F4" w:rsidRDefault="006774F4" w:rsidP="00AA5586">
                <w:pPr>
                  <w:pStyle w:val="TOC2"/>
                  <w:tabs>
                    <w:tab w:val="right" w:leader="dot" w:pos="9783"/>
                  </w:tabs>
                </w:pPr>
                <w:hyperlink w:anchor="__RefHeading___Toc4829_3048004937">
                  <w:r>
                    <w:rPr>
                      <w:rStyle w:val="IndexLink"/>
                      <w:webHidden/>
                    </w:rPr>
                    <w:t>Constats du rapport</w:t>
                  </w:r>
                  <w:r>
                    <w:rPr>
                      <w:rStyle w:val="IndexLink"/>
                      <w:webHidden/>
                    </w:rPr>
                    <w:tab/>
                    <w:t>24</w:t>
                  </w:r>
                </w:hyperlink>
              </w:p>
              <w:p w14:paraId="65B57AE5" w14:textId="77777777" w:rsidR="006774F4" w:rsidRDefault="006774F4" w:rsidP="00AA5586">
                <w:pPr>
                  <w:pStyle w:val="TOC2"/>
                  <w:tabs>
                    <w:tab w:val="right" w:leader="dot" w:pos="9783"/>
                  </w:tabs>
                </w:pPr>
                <w:hyperlink w:anchor="__RefHeading___Toc4831_3048004937">
                  <w:r>
                    <w:rPr>
                      <w:rStyle w:val="IndexLink"/>
                      <w:webHidden/>
                    </w:rPr>
                    <w:t>Codes du projet</w:t>
                  </w:r>
                  <w:r>
                    <w:rPr>
                      <w:rStyle w:val="IndexLink"/>
                      <w:webHidden/>
                    </w:rPr>
                    <w:tab/>
                    <w:t>24</w:t>
                  </w:r>
                </w:hyperlink>
              </w:p>
              <w:p w14:paraId="7E389B13" w14:textId="77777777" w:rsidR="006774F4" w:rsidRDefault="006774F4" w:rsidP="00AA5586">
                <w:pPr>
                  <w:pStyle w:val="TOC2"/>
                  <w:tabs>
                    <w:tab w:val="right" w:leader="dot" w:pos="9783"/>
                  </w:tabs>
                </w:pPr>
                <w:hyperlink w:anchor="__RefHeading___Toc4833_3048004937">
                  <w:r>
                    <w:rPr>
                      <w:rStyle w:val="IndexLink"/>
                      <w:webHidden/>
                    </w:rPr>
                    <w:t>Ce qu’une intervention de Clarity Builders aurait permis d’aborder</w:t>
                  </w:r>
                  <w:r>
                    <w:rPr>
                      <w:rStyle w:val="IndexLink"/>
                      <w:webHidden/>
                    </w:rPr>
                    <w:tab/>
                    <w:t>25</w:t>
                  </w:r>
                </w:hyperlink>
              </w:p>
              <w:p w14:paraId="5CA219B8" w14:textId="77777777" w:rsidR="006774F4" w:rsidRDefault="006774F4" w:rsidP="00AA5586">
                <w:pPr>
                  <w:pStyle w:val="TOC2"/>
                  <w:tabs>
                    <w:tab w:val="right" w:leader="dot" w:pos="9783"/>
                  </w:tabs>
                </w:pPr>
                <w:hyperlink w:anchor="__RefHeading___Toc4835_3048004937">
                  <w:r>
                    <w:rPr>
                      <w:rStyle w:val="IndexLink"/>
                      <w:webHidden/>
                    </w:rPr>
                    <w:t>Scénario illustratif</w:t>
                  </w:r>
                  <w:r>
                    <w:rPr>
                      <w:rStyle w:val="IndexLink"/>
                      <w:webHidden/>
                    </w:rPr>
                    <w:tab/>
                    <w:t>25</w:t>
                  </w:r>
                </w:hyperlink>
              </w:p>
              <w:p w14:paraId="51C17E63" w14:textId="77777777" w:rsidR="006774F4" w:rsidRDefault="006774F4" w:rsidP="00AA5586">
                <w:pPr>
                  <w:pStyle w:val="TOC2"/>
                  <w:tabs>
                    <w:tab w:val="right" w:leader="dot" w:pos="9783"/>
                  </w:tabs>
                </w:pPr>
                <w:hyperlink w:anchor="__RefHeading___Toc4837_3048004937">
                  <w:r>
                    <w:rPr>
                      <w:rStyle w:val="IndexLink"/>
                      <w:webHidden/>
                    </w:rPr>
                    <w:t>Contrefactuel</w:t>
                  </w:r>
                  <w:r>
                    <w:rPr>
                      <w:rStyle w:val="IndexLink"/>
                      <w:webHidden/>
                    </w:rPr>
                    <w:tab/>
                    <w:t>25</w:t>
                  </w:r>
                </w:hyperlink>
              </w:p>
              <w:p w14:paraId="071A6DF1" w14:textId="77777777" w:rsidR="006774F4" w:rsidRDefault="006774F4" w:rsidP="00AA5586">
                <w:pPr>
                  <w:pStyle w:val="TOC1"/>
                  <w:tabs>
                    <w:tab w:val="right" w:leader="dot" w:pos="9783"/>
                  </w:tabs>
                </w:pPr>
                <w:hyperlink w:anchor="__RefHeading___Toc4839_3048004937">
                  <w:r>
                    <w:rPr>
                      <w:rStyle w:val="IndexLink"/>
                      <w:webHidden/>
                    </w:rPr>
                    <w:t>Cas 6. Réseau express métropolitain</w:t>
                  </w:r>
                  <w:r>
                    <w:rPr>
                      <w:rStyle w:val="IndexLink"/>
                      <w:webHidden/>
                    </w:rPr>
                    <w:tab/>
                    <w:t>26</w:t>
                  </w:r>
                </w:hyperlink>
              </w:p>
              <w:p w14:paraId="1BF85F17" w14:textId="77777777" w:rsidR="006774F4" w:rsidRDefault="006774F4" w:rsidP="00AA5586">
                <w:pPr>
                  <w:pStyle w:val="TOC2"/>
                  <w:tabs>
                    <w:tab w:val="right" w:leader="dot" w:pos="9783"/>
                  </w:tabs>
                </w:pPr>
                <w:hyperlink w:anchor="__RefHeading___Toc4841_3048004937">
                  <w:r>
                    <w:rPr>
                      <w:rStyle w:val="IndexLink"/>
                      <w:webHidden/>
                    </w:rPr>
                    <w:t>Ce qui s’est passé</w:t>
                  </w:r>
                  <w:r>
                    <w:rPr>
                      <w:rStyle w:val="IndexLink"/>
                      <w:webHidden/>
                    </w:rPr>
                    <w:tab/>
                    <w:t>26</w:t>
                  </w:r>
                </w:hyperlink>
              </w:p>
              <w:p w14:paraId="2264B319" w14:textId="77777777" w:rsidR="006774F4" w:rsidRDefault="006774F4" w:rsidP="00AA5586">
                <w:pPr>
                  <w:pStyle w:val="TOC2"/>
                  <w:tabs>
                    <w:tab w:val="right" w:leader="dot" w:pos="9783"/>
                  </w:tabs>
                </w:pPr>
                <w:hyperlink w:anchor="__RefHeading___Toc4843_3048004937">
                  <w:r>
                    <w:rPr>
                      <w:rStyle w:val="IndexLink"/>
                      <w:webHidden/>
                    </w:rPr>
                    <w:t>Constats du rapport</w:t>
                  </w:r>
                  <w:r>
                    <w:rPr>
                      <w:rStyle w:val="IndexLink"/>
                      <w:webHidden/>
                    </w:rPr>
                    <w:tab/>
                    <w:t>27</w:t>
                  </w:r>
                </w:hyperlink>
              </w:p>
              <w:p w14:paraId="0C379356" w14:textId="77777777" w:rsidR="006774F4" w:rsidRDefault="006774F4" w:rsidP="00AA5586">
                <w:pPr>
                  <w:pStyle w:val="TOC2"/>
                  <w:tabs>
                    <w:tab w:val="right" w:leader="dot" w:pos="9783"/>
                  </w:tabs>
                </w:pPr>
                <w:hyperlink w:anchor="__RefHeading___Toc4845_3048004937">
                  <w:r>
                    <w:rPr>
                      <w:rStyle w:val="IndexLink"/>
                      <w:webHidden/>
                    </w:rPr>
                    <w:t>Codes du projet</w:t>
                  </w:r>
                  <w:r>
                    <w:rPr>
                      <w:rStyle w:val="IndexLink"/>
                      <w:webHidden/>
                    </w:rPr>
                    <w:tab/>
                    <w:t>27</w:t>
                  </w:r>
                </w:hyperlink>
              </w:p>
              <w:p w14:paraId="4B1C0822" w14:textId="77777777" w:rsidR="006774F4" w:rsidRDefault="006774F4" w:rsidP="00AA5586">
                <w:pPr>
                  <w:pStyle w:val="TOC2"/>
                  <w:tabs>
                    <w:tab w:val="right" w:leader="dot" w:pos="9783"/>
                  </w:tabs>
                </w:pPr>
                <w:hyperlink w:anchor="__RefHeading___Toc4847_3048004937">
                  <w:r>
                    <w:rPr>
                      <w:rStyle w:val="IndexLink"/>
                      <w:webHidden/>
                    </w:rPr>
                    <w:t>Ce qu’une intervention de Clarity Builders aurait permis d’aborder</w:t>
                  </w:r>
                  <w:r>
                    <w:rPr>
                      <w:rStyle w:val="IndexLink"/>
                      <w:webHidden/>
                    </w:rPr>
                    <w:tab/>
                    <w:t>27</w:t>
                  </w:r>
                </w:hyperlink>
              </w:p>
              <w:p w14:paraId="0D70DB8B" w14:textId="77777777" w:rsidR="006774F4" w:rsidRDefault="006774F4" w:rsidP="00AA5586">
                <w:pPr>
                  <w:pStyle w:val="TOC2"/>
                  <w:tabs>
                    <w:tab w:val="right" w:leader="dot" w:pos="9783"/>
                  </w:tabs>
                </w:pPr>
                <w:hyperlink w:anchor="__RefHeading___Toc4849_3048004937">
                  <w:r>
                    <w:rPr>
                      <w:rStyle w:val="IndexLink"/>
                      <w:webHidden/>
                    </w:rPr>
                    <w:t>Scénario illustratif</w:t>
                  </w:r>
                  <w:r>
                    <w:rPr>
                      <w:rStyle w:val="IndexLink"/>
                      <w:webHidden/>
                    </w:rPr>
                    <w:tab/>
                    <w:t>28</w:t>
                  </w:r>
                </w:hyperlink>
              </w:p>
              <w:p w14:paraId="3DA31925" w14:textId="77777777" w:rsidR="006774F4" w:rsidRDefault="006774F4" w:rsidP="00AA5586">
                <w:pPr>
                  <w:pStyle w:val="TOC2"/>
                  <w:tabs>
                    <w:tab w:val="right" w:leader="dot" w:pos="9783"/>
                  </w:tabs>
                </w:pPr>
                <w:hyperlink w:anchor="__RefHeading___Toc4851_3048004937">
                  <w:r>
                    <w:rPr>
                      <w:rStyle w:val="IndexLink"/>
                      <w:webHidden/>
                    </w:rPr>
                    <w:t>Contrefactuel</w:t>
                  </w:r>
                  <w:r>
                    <w:rPr>
                      <w:rStyle w:val="IndexLink"/>
                      <w:webHidden/>
                    </w:rPr>
                    <w:tab/>
                    <w:t>28</w:t>
                  </w:r>
                </w:hyperlink>
              </w:p>
              <w:p w14:paraId="35087C61" w14:textId="77777777" w:rsidR="006774F4" w:rsidRDefault="006774F4" w:rsidP="00AA5586">
                <w:pPr>
                  <w:pStyle w:val="TOC1"/>
                  <w:tabs>
                    <w:tab w:val="right" w:leader="dot" w:pos="9783"/>
                  </w:tabs>
                </w:pPr>
                <w:hyperlink w:anchor="__RefHeading___Toc4853_3048004937">
                  <w:r>
                    <w:rPr>
                      <w:rStyle w:val="IndexLink"/>
                      <w:webHidden/>
                    </w:rPr>
                    <w:t>Cas 7. Toronto Water</w:t>
                  </w:r>
                  <w:r>
                    <w:rPr>
                      <w:rStyle w:val="IndexLink"/>
                      <w:webHidden/>
                    </w:rPr>
                    <w:tab/>
                    <w:t>28</w:t>
                  </w:r>
                </w:hyperlink>
              </w:p>
              <w:p w14:paraId="21986A36" w14:textId="77777777" w:rsidR="006774F4" w:rsidRDefault="006774F4" w:rsidP="00AA5586">
                <w:pPr>
                  <w:pStyle w:val="TOC2"/>
                  <w:tabs>
                    <w:tab w:val="right" w:leader="dot" w:pos="9783"/>
                  </w:tabs>
                </w:pPr>
                <w:hyperlink w:anchor="__RefHeading___Toc4855_3048004937">
                  <w:r>
                    <w:rPr>
                      <w:rStyle w:val="IndexLink"/>
                      <w:webHidden/>
                    </w:rPr>
                    <w:t>Ce qui s’est passé</w:t>
                  </w:r>
                  <w:r>
                    <w:rPr>
                      <w:rStyle w:val="IndexLink"/>
                      <w:webHidden/>
                    </w:rPr>
                    <w:tab/>
                    <w:t>29</w:t>
                  </w:r>
                </w:hyperlink>
              </w:p>
              <w:p w14:paraId="6F2F4C57" w14:textId="77777777" w:rsidR="006774F4" w:rsidRDefault="006774F4" w:rsidP="00AA5586">
                <w:pPr>
                  <w:pStyle w:val="TOC2"/>
                  <w:tabs>
                    <w:tab w:val="right" w:leader="dot" w:pos="9783"/>
                  </w:tabs>
                </w:pPr>
                <w:hyperlink w:anchor="__RefHeading___Toc4857_3048004937">
                  <w:r>
                    <w:rPr>
                      <w:rStyle w:val="IndexLink"/>
                      <w:webHidden/>
                    </w:rPr>
                    <w:t>Constats du rapport</w:t>
                  </w:r>
                  <w:r>
                    <w:rPr>
                      <w:rStyle w:val="IndexLink"/>
                      <w:webHidden/>
                    </w:rPr>
                    <w:tab/>
                    <w:t>29</w:t>
                  </w:r>
                </w:hyperlink>
              </w:p>
              <w:p w14:paraId="0490A4B0" w14:textId="77777777" w:rsidR="006774F4" w:rsidRDefault="006774F4" w:rsidP="00AA5586">
                <w:pPr>
                  <w:pStyle w:val="TOC2"/>
                  <w:tabs>
                    <w:tab w:val="right" w:leader="dot" w:pos="9783"/>
                  </w:tabs>
                </w:pPr>
                <w:hyperlink w:anchor="__RefHeading___Toc4859_3048004937">
                  <w:r>
                    <w:rPr>
                      <w:rStyle w:val="IndexLink"/>
                      <w:webHidden/>
                    </w:rPr>
                    <w:t>Codes du projet</w:t>
                  </w:r>
                  <w:r>
                    <w:rPr>
                      <w:rStyle w:val="IndexLink"/>
                      <w:webHidden/>
                    </w:rPr>
                    <w:tab/>
                    <w:t>30</w:t>
                  </w:r>
                </w:hyperlink>
              </w:p>
              <w:p w14:paraId="3C0AA9D0" w14:textId="77777777" w:rsidR="006774F4" w:rsidRDefault="006774F4" w:rsidP="00AA5586">
                <w:pPr>
                  <w:pStyle w:val="TOC2"/>
                  <w:tabs>
                    <w:tab w:val="right" w:leader="dot" w:pos="9783"/>
                  </w:tabs>
                </w:pPr>
                <w:hyperlink w:anchor="__RefHeading___Toc4861_3048004937">
                  <w:r>
                    <w:rPr>
                      <w:rStyle w:val="IndexLink"/>
                      <w:webHidden/>
                    </w:rPr>
                    <w:t>Ce qu’une intervention de Clarity Builders aurait permis d’aborder</w:t>
                  </w:r>
                  <w:r>
                    <w:rPr>
                      <w:rStyle w:val="IndexLink"/>
                      <w:webHidden/>
                    </w:rPr>
                    <w:tab/>
                    <w:t>30</w:t>
                  </w:r>
                </w:hyperlink>
              </w:p>
              <w:p w14:paraId="00215B0C" w14:textId="77777777" w:rsidR="006774F4" w:rsidRDefault="006774F4" w:rsidP="00AA5586">
                <w:pPr>
                  <w:pStyle w:val="TOC2"/>
                  <w:tabs>
                    <w:tab w:val="right" w:leader="dot" w:pos="9783"/>
                  </w:tabs>
                </w:pPr>
                <w:hyperlink w:anchor="__RefHeading___Toc4863_3048004937">
                  <w:r>
                    <w:rPr>
                      <w:rStyle w:val="IndexLink"/>
                      <w:webHidden/>
                    </w:rPr>
                    <w:t>Scénario illustratif</w:t>
                  </w:r>
                  <w:r>
                    <w:rPr>
                      <w:rStyle w:val="IndexLink"/>
                      <w:webHidden/>
                    </w:rPr>
                    <w:tab/>
                    <w:t>30</w:t>
                  </w:r>
                </w:hyperlink>
              </w:p>
              <w:p w14:paraId="1AAE7D9B" w14:textId="77777777" w:rsidR="006774F4" w:rsidRDefault="006774F4" w:rsidP="00AA5586">
                <w:pPr>
                  <w:pStyle w:val="TOC2"/>
                  <w:tabs>
                    <w:tab w:val="right" w:leader="dot" w:pos="9783"/>
                  </w:tabs>
                </w:pPr>
                <w:hyperlink w:anchor="__RefHeading___Toc4865_3048004937">
                  <w:r>
                    <w:rPr>
                      <w:rStyle w:val="IndexLink"/>
                      <w:webHidden/>
                    </w:rPr>
                    <w:t>Contrefactuel</w:t>
                  </w:r>
                  <w:r>
                    <w:rPr>
                      <w:rStyle w:val="IndexLink"/>
                      <w:webHidden/>
                    </w:rPr>
                    <w:tab/>
                    <w:t>31</w:t>
                  </w:r>
                </w:hyperlink>
              </w:p>
              <w:p w14:paraId="33155729" w14:textId="77777777" w:rsidR="006774F4" w:rsidRDefault="006774F4" w:rsidP="00AA5586">
                <w:pPr>
                  <w:pStyle w:val="TOC1"/>
                  <w:tabs>
                    <w:tab w:val="right" w:leader="dot" w:pos="9783"/>
                  </w:tabs>
                </w:pPr>
                <w:hyperlink w:anchor="__RefHeading___Toc4867_3048004937">
                  <w:r>
                    <w:rPr>
                      <w:rStyle w:val="IndexLink"/>
                      <w:webHidden/>
                    </w:rPr>
                    <w:t>Cas 8. Planification des immobilisations scolaires en Nouvelle-Écosse Détails du projet</w:t>
                  </w:r>
                  <w:r>
                    <w:rPr>
                      <w:rStyle w:val="IndexLink"/>
                      <w:webHidden/>
                    </w:rPr>
                    <w:tab/>
                    <w:t>31</w:t>
                  </w:r>
                </w:hyperlink>
              </w:p>
              <w:p w14:paraId="54BD9C69" w14:textId="77777777" w:rsidR="006774F4" w:rsidRDefault="006774F4" w:rsidP="00AA5586">
                <w:pPr>
                  <w:pStyle w:val="TOC2"/>
                  <w:tabs>
                    <w:tab w:val="right" w:leader="dot" w:pos="9783"/>
                  </w:tabs>
                </w:pPr>
                <w:hyperlink w:anchor="__RefHeading___Toc4869_3048004937">
                  <w:r>
                    <w:rPr>
                      <w:rStyle w:val="IndexLink"/>
                      <w:webHidden/>
                    </w:rPr>
                    <w:t>Ce qui s’est passé</w:t>
                  </w:r>
                  <w:r>
                    <w:rPr>
                      <w:rStyle w:val="IndexLink"/>
                      <w:webHidden/>
                    </w:rPr>
                    <w:tab/>
                    <w:t>32</w:t>
                  </w:r>
                </w:hyperlink>
              </w:p>
              <w:p w14:paraId="0926565E" w14:textId="77777777" w:rsidR="006774F4" w:rsidRDefault="006774F4" w:rsidP="00AA5586">
                <w:pPr>
                  <w:pStyle w:val="TOC2"/>
                  <w:tabs>
                    <w:tab w:val="right" w:leader="dot" w:pos="9783"/>
                  </w:tabs>
                </w:pPr>
                <w:hyperlink w:anchor="__RefHeading___Toc4871_3048004937">
                  <w:r>
                    <w:rPr>
                      <w:rStyle w:val="IndexLink"/>
                      <w:webHidden/>
                    </w:rPr>
                    <w:t>Constats du rapport</w:t>
                  </w:r>
                  <w:r>
                    <w:rPr>
                      <w:rStyle w:val="IndexLink"/>
                      <w:webHidden/>
                    </w:rPr>
                    <w:tab/>
                    <w:t>32</w:t>
                  </w:r>
                </w:hyperlink>
              </w:p>
              <w:p w14:paraId="1ECC0F0B" w14:textId="77777777" w:rsidR="006774F4" w:rsidRDefault="006774F4" w:rsidP="00AA5586">
                <w:pPr>
                  <w:pStyle w:val="TOC2"/>
                  <w:tabs>
                    <w:tab w:val="right" w:leader="dot" w:pos="9783"/>
                  </w:tabs>
                </w:pPr>
                <w:hyperlink w:anchor="__RefHeading___Toc4873_3048004937">
                  <w:r>
                    <w:rPr>
                      <w:rStyle w:val="IndexLink"/>
                      <w:webHidden/>
                    </w:rPr>
                    <w:t>Codes du projet</w:t>
                  </w:r>
                  <w:r>
                    <w:rPr>
                      <w:rStyle w:val="IndexLink"/>
                      <w:webHidden/>
                    </w:rPr>
                    <w:tab/>
                    <w:t>32</w:t>
                  </w:r>
                </w:hyperlink>
              </w:p>
              <w:p w14:paraId="1569E9FF" w14:textId="77777777" w:rsidR="006774F4" w:rsidRDefault="006774F4" w:rsidP="00AA5586">
                <w:pPr>
                  <w:pStyle w:val="TOC2"/>
                  <w:tabs>
                    <w:tab w:val="right" w:leader="dot" w:pos="9783"/>
                  </w:tabs>
                </w:pPr>
                <w:hyperlink w:anchor="__RefHeading___Toc4875_3048004937">
                  <w:r>
                    <w:rPr>
                      <w:rStyle w:val="IndexLink"/>
                      <w:webHidden/>
                    </w:rPr>
                    <w:t>Ce qu’une intervention de Clarity Builders aurait permis d’aborder</w:t>
                  </w:r>
                  <w:r>
                    <w:rPr>
                      <w:rStyle w:val="IndexLink"/>
                      <w:webHidden/>
                    </w:rPr>
                    <w:tab/>
                    <w:t>33</w:t>
                  </w:r>
                </w:hyperlink>
              </w:p>
              <w:p w14:paraId="1B429CAD" w14:textId="77777777" w:rsidR="006774F4" w:rsidRDefault="006774F4" w:rsidP="00AA5586">
                <w:pPr>
                  <w:pStyle w:val="TOC2"/>
                  <w:tabs>
                    <w:tab w:val="right" w:leader="dot" w:pos="9783"/>
                  </w:tabs>
                </w:pPr>
                <w:hyperlink w:anchor="__RefHeading___Toc4877_3048004937">
                  <w:r>
                    <w:rPr>
                      <w:rStyle w:val="IndexLink"/>
                      <w:webHidden/>
                    </w:rPr>
                    <w:t>Scénario illustratif</w:t>
                  </w:r>
                  <w:r>
                    <w:rPr>
                      <w:rStyle w:val="IndexLink"/>
                      <w:webHidden/>
                    </w:rPr>
                    <w:tab/>
                    <w:t>33</w:t>
                  </w:r>
                </w:hyperlink>
              </w:p>
              <w:p w14:paraId="658165CC" w14:textId="77777777" w:rsidR="006774F4" w:rsidRDefault="006774F4" w:rsidP="00AA5586">
                <w:pPr>
                  <w:pStyle w:val="TOC2"/>
                  <w:tabs>
                    <w:tab w:val="right" w:leader="dot" w:pos="9783"/>
                  </w:tabs>
                </w:pPr>
                <w:hyperlink w:anchor="__RefHeading___Toc4879_3048004937">
                  <w:r>
                    <w:rPr>
                      <w:rStyle w:val="IndexLink"/>
                      <w:webHidden/>
                    </w:rPr>
                    <w:t>Contrefactuel</w:t>
                  </w:r>
                  <w:r>
                    <w:rPr>
                      <w:rStyle w:val="IndexLink"/>
                      <w:webHidden/>
                    </w:rPr>
                    <w:tab/>
                    <w:t>33</w:t>
                  </w:r>
                </w:hyperlink>
              </w:p>
              <w:p w14:paraId="302B31DB" w14:textId="77777777" w:rsidR="006774F4" w:rsidRDefault="006774F4" w:rsidP="00AA5586">
                <w:pPr>
                  <w:pStyle w:val="TOC1"/>
                  <w:tabs>
                    <w:tab w:val="right" w:leader="dot" w:pos="9783"/>
                  </w:tabs>
                </w:pPr>
                <w:hyperlink w:anchor="__RefHeading___Toc4881_3048004937">
                  <w:r>
                    <w:rPr>
                      <w:rStyle w:val="IndexLink"/>
                      <w:webHidden/>
                    </w:rPr>
                    <w:t>Cas 9. Projet d’énergie propre du Site C</w:t>
                  </w:r>
                  <w:r>
                    <w:rPr>
                      <w:rStyle w:val="IndexLink"/>
                      <w:webHidden/>
                    </w:rPr>
                    <w:tab/>
                    <w:t>33</w:t>
                  </w:r>
                </w:hyperlink>
              </w:p>
              <w:p w14:paraId="042463DF" w14:textId="77777777" w:rsidR="006774F4" w:rsidRDefault="006774F4" w:rsidP="00AA5586">
                <w:pPr>
                  <w:pStyle w:val="TOC2"/>
                  <w:tabs>
                    <w:tab w:val="right" w:leader="dot" w:pos="9783"/>
                  </w:tabs>
                </w:pPr>
                <w:hyperlink w:anchor="__RefHeading___Toc4883_3048004937">
                  <w:r>
                    <w:rPr>
                      <w:rStyle w:val="IndexLink"/>
                      <w:webHidden/>
                    </w:rPr>
                    <w:t>Ce qui s’est passé</w:t>
                  </w:r>
                  <w:r>
                    <w:rPr>
                      <w:rStyle w:val="IndexLink"/>
                      <w:webHidden/>
                    </w:rPr>
                    <w:tab/>
                    <w:t>34</w:t>
                  </w:r>
                </w:hyperlink>
              </w:p>
              <w:p w14:paraId="0318162A" w14:textId="77777777" w:rsidR="006774F4" w:rsidRDefault="006774F4" w:rsidP="00AA5586">
                <w:pPr>
                  <w:pStyle w:val="TOC2"/>
                  <w:tabs>
                    <w:tab w:val="right" w:leader="dot" w:pos="9783"/>
                  </w:tabs>
                </w:pPr>
                <w:hyperlink w:anchor="__RefHeading___Toc4885_3048004937">
                  <w:r>
                    <w:rPr>
                      <w:rStyle w:val="IndexLink"/>
                      <w:webHidden/>
                    </w:rPr>
                    <w:t>Constats du rapport</w:t>
                  </w:r>
                  <w:r>
                    <w:rPr>
                      <w:rStyle w:val="IndexLink"/>
                      <w:webHidden/>
                    </w:rPr>
                    <w:tab/>
                    <w:t>34</w:t>
                  </w:r>
                </w:hyperlink>
              </w:p>
              <w:p w14:paraId="4E170CEB" w14:textId="77777777" w:rsidR="006774F4" w:rsidRDefault="006774F4" w:rsidP="00AA5586">
                <w:pPr>
                  <w:pStyle w:val="TOC2"/>
                  <w:tabs>
                    <w:tab w:val="right" w:leader="dot" w:pos="9783"/>
                  </w:tabs>
                </w:pPr>
                <w:hyperlink w:anchor="__RefHeading___Toc4887_3048004937">
                  <w:r>
                    <w:rPr>
                      <w:rStyle w:val="IndexLink"/>
                      <w:webHidden/>
                    </w:rPr>
                    <w:t>Codes du projet</w:t>
                  </w:r>
                  <w:r>
                    <w:rPr>
                      <w:rStyle w:val="IndexLink"/>
                      <w:webHidden/>
                    </w:rPr>
                    <w:tab/>
                    <w:t>35</w:t>
                  </w:r>
                </w:hyperlink>
              </w:p>
              <w:p w14:paraId="65576E09" w14:textId="77777777" w:rsidR="006774F4" w:rsidRDefault="006774F4" w:rsidP="00AA5586">
                <w:pPr>
                  <w:pStyle w:val="TOC2"/>
                  <w:tabs>
                    <w:tab w:val="right" w:leader="dot" w:pos="9783"/>
                  </w:tabs>
                </w:pPr>
                <w:hyperlink w:anchor="__RefHeading___Toc4889_3048004937">
                  <w:r>
                    <w:rPr>
                      <w:rStyle w:val="IndexLink"/>
                      <w:webHidden/>
                    </w:rPr>
                    <w:t>Ce qu’une intervention de Clarity Builders aurait permis d’aborder</w:t>
                  </w:r>
                  <w:r>
                    <w:rPr>
                      <w:rStyle w:val="IndexLink"/>
                      <w:webHidden/>
                    </w:rPr>
                    <w:tab/>
                    <w:t>35</w:t>
                  </w:r>
                </w:hyperlink>
              </w:p>
              <w:p w14:paraId="662537DE" w14:textId="77777777" w:rsidR="006774F4" w:rsidRDefault="006774F4" w:rsidP="00AA5586">
                <w:pPr>
                  <w:pStyle w:val="TOC2"/>
                  <w:tabs>
                    <w:tab w:val="right" w:leader="dot" w:pos="9783"/>
                  </w:tabs>
                </w:pPr>
                <w:hyperlink w:anchor="__RefHeading___Toc4891_3048004937">
                  <w:r>
                    <w:rPr>
                      <w:rStyle w:val="IndexLink"/>
                      <w:webHidden/>
                    </w:rPr>
                    <w:t>Scénario illustratif</w:t>
                  </w:r>
                  <w:r>
                    <w:rPr>
                      <w:rStyle w:val="IndexLink"/>
                      <w:webHidden/>
                    </w:rPr>
                    <w:tab/>
                    <w:t>35</w:t>
                  </w:r>
                </w:hyperlink>
              </w:p>
              <w:p w14:paraId="3CDD2F5E" w14:textId="77777777" w:rsidR="006774F4" w:rsidRDefault="006774F4" w:rsidP="00AA5586">
                <w:pPr>
                  <w:pStyle w:val="TOC2"/>
                  <w:tabs>
                    <w:tab w:val="right" w:leader="dot" w:pos="9783"/>
                  </w:tabs>
                </w:pPr>
                <w:hyperlink w:anchor="__RefHeading___Toc4893_3048004937">
                  <w:r>
                    <w:rPr>
                      <w:rStyle w:val="IndexLink"/>
                      <w:webHidden/>
                    </w:rPr>
                    <w:t>Contrefactuel</w:t>
                  </w:r>
                  <w:r>
                    <w:rPr>
                      <w:rStyle w:val="IndexLink"/>
                      <w:webHidden/>
                    </w:rPr>
                    <w:tab/>
                    <w:t>35</w:t>
                  </w:r>
                </w:hyperlink>
              </w:p>
              <w:p w14:paraId="0C6EFC53" w14:textId="77777777" w:rsidR="006774F4" w:rsidRDefault="006774F4" w:rsidP="00AA5586">
                <w:pPr>
                  <w:pStyle w:val="TOC1"/>
                  <w:tabs>
                    <w:tab w:val="right" w:leader="dot" w:pos="9783"/>
                  </w:tabs>
                </w:pPr>
                <w:hyperlink w:anchor="__RefHeading___Toc4895_3048004937">
                  <w:r>
                    <w:rPr>
                      <w:rStyle w:val="IndexLink"/>
                      <w:webHidden/>
                    </w:rPr>
                    <w:t>Cas 10. Centre de soins continus Willow Square</w:t>
                  </w:r>
                  <w:r>
                    <w:rPr>
                      <w:rStyle w:val="IndexLink"/>
                      <w:webHidden/>
                    </w:rPr>
                    <w:tab/>
                    <w:t>36</w:t>
                  </w:r>
                </w:hyperlink>
              </w:p>
              <w:p w14:paraId="18D2A118" w14:textId="77777777" w:rsidR="006774F4" w:rsidRDefault="006774F4" w:rsidP="00AA5586">
                <w:pPr>
                  <w:pStyle w:val="TOC2"/>
                  <w:tabs>
                    <w:tab w:val="right" w:leader="dot" w:pos="9783"/>
                  </w:tabs>
                </w:pPr>
                <w:hyperlink w:anchor="__RefHeading___Toc4897_3048004937">
                  <w:r>
                    <w:rPr>
                      <w:rStyle w:val="IndexLink"/>
                      <w:webHidden/>
                    </w:rPr>
                    <w:t>Ce qui s’est passé</w:t>
                  </w:r>
                  <w:r>
                    <w:rPr>
                      <w:rStyle w:val="IndexLink"/>
                      <w:webHidden/>
                    </w:rPr>
                    <w:tab/>
                    <w:t>36</w:t>
                  </w:r>
                </w:hyperlink>
              </w:p>
              <w:p w14:paraId="637ADE3F" w14:textId="77777777" w:rsidR="006774F4" w:rsidRDefault="006774F4" w:rsidP="00AA5586">
                <w:pPr>
                  <w:pStyle w:val="TOC2"/>
                  <w:tabs>
                    <w:tab w:val="right" w:leader="dot" w:pos="9783"/>
                  </w:tabs>
                </w:pPr>
                <w:hyperlink w:anchor="__RefHeading___Toc4899_3048004937">
                  <w:r>
                    <w:rPr>
                      <w:rStyle w:val="IndexLink"/>
                      <w:webHidden/>
                    </w:rPr>
                    <w:t>Constats du rapport</w:t>
                  </w:r>
                  <w:r>
                    <w:rPr>
                      <w:rStyle w:val="IndexLink"/>
                      <w:webHidden/>
                    </w:rPr>
                    <w:tab/>
                    <w:t>37</w:t>
                  </w:r>
                </w:hyperlink>
              </w:p>
              <w:p w14:paraId="7BAD107E" w14:textId="77777777" w:rsidR="006774F4" w:rsidRDefault="006774F4" w:rsidP="00AA5586">
                <w:pPr>
                  <w:pStyle w:val="TOC2"/>
                  <w:tabs>
                    <w:tab w:val="right" w:leader="dot" w:pos="9783"/>
                  </w:tabs>
                </w:pPr>
                <w:hyperlink w:anchor="__RefHeading___Toc4901_3048004937">
                  <w:r>
                    <w:rPr>
                      <w:rStyle w:val="IndexLink"/>
                      <w:webHidden/>
                    </w:rPr>
                    <w:t>Codes du projet</w:t>
                  </w:r>
                  <w:r>
                    <w:rPr>
                      <w:rStyle w:val="IndexLink"/>
                      <w:webHidden/>
                    </w:rPr>
                    <w:tab/>
                    <w:t>37</w:t>
                  </w:r>
                </w:hyperlink>
              </w:p>
              <w:p w14:paraId="395EAA69" w14:textId="77777777" w:rsidR="006774F4" w:rsidRDefault="006774F4" w:rsidP="00AA5586">
                <w:pPr>
                  <w:pStyle w:val="TOC2"/>
                  <w:tabs>
                    <w:tab w:val="right" w:leader="dot" w:pos="9783"/>
                  </w:tabs>
                </w:pPr>
                <w:hyperlink w:anchor="__RefHeading___Toc4903_3048004937">
                  <w:r>
                    <w:rPr>
                      <w:rStyle w:val="IndexLink"/>
                      <w:webHidden/>
                    </w:rPr>
                    <w:t>Ce qu’une intervention de Clarity Builders aurait permis d’aborder</w:t>
                  </w:r>
                  <w:r>
                    <w:rPr>
                      <w:rStyle w:val="IndexLink"/>
                      <w:webHidden/>
                    </w:rPr>
                    <w:tab/>
                    <w:t>37</w:t>
                  </w:r>
                </w:hyperlink>
              </w:p>
              <w:p w14:paraId="7FBC42B3" w14:textId="77777777" w:rsidR="006774F4" w:rsidRDefault="006774F4" w:rsidP="00AA5586">
                <w:pPr>
                  <w:pStyle w:val="TOC2"/>
                  <w:tabs>
                    <w:tab w:val="right" w:leader="dot" w:pos="9783"/>
                  </w:tabs>
                </w:pPr>
                <w:hyperlink w:anchor="__RefHeading___Toc4905_3048004937">
                  <w:r>
                    <w:rPr>
                      <w:rStyle w:val="IndexLink"/>
                      <w:webHidden/>
                    </w:rPr>
                    <w:t>Scénario illustratif</w:t>
                  </w:r>
                  <w:r>
                    <w:rPr>
                      <w:rStyle w:val="IndexLink"/>
                      <w:webHidden/>
                    </w:rPr>
                    <w:tab/>
                    <w:t>38</w:t>
                  </w:r>
                </w:hyperlink>
              </w:p>
              <w:p w14:paraId="7457D4F2" w14:textId="77777777" w:rsidR="006774F4" w:rsidRDefault="006774F4" w:rsidP="00AA5586">
                <w:pPr>
                  <w:pStyle w:val="TOC2"/>
                  <w:tabs>
                    <w:tab w:val="right" w:leader="dot" w:pos="9783"/>
                  </w:tabs>
                </w:pPr>
                <w:hyperlink w:anchor="__RefHeading___Toc4907_3048004937">
                  <w:r>
                    <w:rPr>
                      <w:rStyle w:val="IndexLink"/>
                      <w:webHidden/>
                    </w:rPr>
                    <w:t>Contrefactuel</w:t>
                  </w:r>
                  <w:r>
                    <w:rPr>
                      <w:rStyle w:val="IndexLink"/>
                      <w:webHidden/>
                    </w:rPr>
                    <w:tab/>
                    <w:t>38</w:t>
                  </w:r>
                </w:hyperlink>
              </w:p>
              <w:p w14:paraId="689134EF" w14:textId="77777777" w:rsidR="006774F4" w:rsidRDefault="006774F4" w:rsidP="00AA5586">
                <w:pPr>
                  <w:pStyle w:val="TOC1"/>
                  <w:tabs>
                    <w:tab w:val="right" w:leader="dot" w:pos="9783"/>
                  </w:tabs>
                </w:pPr>
                <w:hyperlink w:anchor="__RefHeading___Toc4909_3048004937">
                  <w:r>
                    <w:rPr>
                      <w:rStyle w:val="IndexLink"/>
                      <w:webHidden/>
                    </w:rPr>
                    <w:t>Cas 11. Ponts et ponceaux de l’Ontario</w:t>
                  </w:r>
                  <w:r>
                    <w:rPr>
                      <w:rStyle w:val="IndexLink"/>
                      <w:webHidden/>
                    </w:rPr>
                    <w:tab/>
                    <w:t>38</w:t>
                  </w:r>
                </w:hyperlink>
              </w:p>
              <w:p w14:paraId="25A899C1" w14:textId="77777777" w:rsidR="006774F4" w:rsidRDefault="006774F4" w:rsidP="00AA5586">
                <w:pPr>
                  <w:pStyle w:val="TOC2"/>
                  <w:tabs>
                    <w:tab w:val="right" w:leader="dot" w:pos="9783"/>
                  </w:tabs>
                </w:pPr>
                <w:hyperlink w:anchor="__RefHeading___Toc4911_3048004937">
                  <w:r>
                    <w:rPr>
                      <w:rStyle w:val="IndexLink"/>
                      <w:webHidden/>
                    </w:rPr>
                    <w:t>Ce qui s’est passé</w:t>
                  </w:r>
                  <w:r>
                    <w:rPr>
                      <w:rStyle w:val="IndexLink"/>
                      <w:webHidden/>
                    </w:rPr>
                    <w:tab/>
                    <w:t>39</w:t>
                  </w:r>
                </w:hyperlink>
              </w:p>
              <w:p w14:paraId="501F4E4A" w14:textId="77777777" w:rsidR="006774F4" w:rsidRDefault="006774F4" w:rsidP="00AA5586">
                <w:pPr>
                  <w:pStyle w:val="TOC2"/>
                  <w:tabs>
                    <w:tab w:val="right" w:leader="dot" w:pos="9783"/>
                  </w:tabs>
                </w:pPr>
                <w:hyperlink w:anchor="__RefHeading___Toc4913_3048004937">
                  <w:r>
                    <w:rPr>
                      <w:rStyle w:val="IndexLink"/>
                      <w:webHidden/>
                    </w:rPr>
                    <w:t>Constats du rapport</w:t>
                  </w:r>
                  <w:r>
                    <w:rPr>
                      <w:rStyle w:val="IndexLink"/>
                      <w:webHidden/>
                    </w:rPr>
                    <w:tab/>
                    <w:t>39</w:t>
                  </w:r>
                </w:hyperlink>
              </w:p>
              <w:p w14:paraId="5C0B4A2B" w14:textId="77777777" w:rsidR="006774F4" w:rsidRDefault="006774F4" w:rsidP="00AA5586">
                <w:pPr>
                  <w:pStyle w:val="TOC2"/>
                  <w:tabs>
                    <w:tab w:val="right" w:leader="dot" w:pos="9783"/>
                  </w:tabs>
                </w:pPr>
                <w:hyperlink w:anchor="__RefHeading___Toc4915_3048004937">
                  <w:r>
                    <w:rPr>
                      <w:rStyle w:val="IndexLink"/>
                      <w:webHidden/>
                    </w:rPr>
                    <w:t>Codes du projet</w:t>
                  </w:r>
                  <w:r>
                    <w:rPr>
                      <w:rStyle w:val="IndexLink"/>
                      <w:webHidden/>
                    </w:rPr>
                    <w:tab/>
                    <w:t>39</w:t>
                  </w:r>
                </w:hyperlink>
              </w:p>
              <w:p w14:paraId="382932EE" w14:textId="77777777" w:rsidR="006774F4" w:rsidRDefault="006774F4" w:rsidP="00AA5586">
                <w:pPr>
                  <w:pStyle w:val="TOC2"/>
                  <w:tabs>
                    <w:tab w:val="right" w:leader="dot" w:pos="9783"/>
                  </w:tabs>
                </w:pPr>
                <w:hyperlink w:anchor="__RefHeading___Toc4917_3048004937">
                  <w:r>
                    <w:rPr>
                      <w:rStyle w:val="IndexLink"/>
                      <w:webHidden/>
                    </w:rPr>
                    <w:t>Ce qu’une intervention de Clarity Builders aurait permis d’aborder</w:t>
                  </w:r>
                  <w:r>
                    <w:rPr>
                      <w:rStyle w:val="IndexLink"/>
                      <w:webHidden/>
                    </w:rPr>
                    <w:tab/>
                    <w:t>40</w:t>
                  </w:r>
                </w:hyperlink>
              </w:p>
              <w:p w14:paraId="1F93B01A" w14:textId="77777777" w:rsidR="006774F4" w:rsidRDefault="006774F4" w:rsidP="00AA5586">
                <w:pPr>
                  <w:pStyle w:val="TOC2"/>
                  <w:tabs>
                    <w:tab w:val="right" w:leader="dot" w:pos="9783"/>
                  </w:tabs>
                </w:pPr>
                <w:hyperlink w:anchor="__RefHeading___Toc4919_3048004937">
                  <w:r>
                    <w:rPr>
                      <w:rStyle w:val="IndexLink"/>
                      <w:webHidden/>
                    </w:rPr>
                    <w:t>Scénario illustratif</w:t>
                  </w:r>
                  <w:r>
                    <w:rPr>
                      <w:rStyle w:val="IndexLink"/>
                      <w:webHidden/>
                    </w:rPr>
                    <w:tab/>
                    <w:t>40</w:t>
                  </w:r>
                </w:hyperlink>
              </w:p>
              <w:p w14:paraId="7FD78E89" w14:textId="77777777" w:rsidR="006774F4" w:rsidRDefault="006774F4" w:rsidP="00AA5586">
                <w:pPr>
                  <w:pStyle w:val="TOC2"/>
                  <w:tabs>
                    <w:tab w:val="right" w:leader="dot" w:pos="9783"/>
                  </w:tabs>
                </w:pPr>
                <w:hyperlink w:anchor="__RefHeading___Toc4921_3048004937">
                  <w:r>
                    <w:rPr>
                      <w:rStyle w:val="IndexLink"/>
                      <w:webHidden/>
                    </w:rPr>
                    <w:t>Contrefactuel</w:t>
                  </w:r>
                  <w:r>
                    <w:rPr>
                      <w:rStyle w:val="IndexLink"/>
                      <w:webHidden/>
                    </w:rPr>
                    <w:tab/>
                    <w:t>40</w:t>
                  </w:r>
                </w:hyperlink>
              </w:p>
              <w:p w14:paraId="0B842DB6" w14:textId="77777777" w:rsidR="006774F4" w:rsidRDefault="006774F4" w:rsidP="00AA5586">
                <w:pPr>
                  <w:pStyle w:val="TOC1"/>
                  <w:tabs>
                    <w:tab w:val="right" w:leader="dot" w:pos="9783"/>
                  </w:tabs>
                </w:pPr>
                <w:hyperlink w:anchor="__RefHeading___Toc4923_3048004937">
                  <w:r>
                    <w:rPr>
                      <w:rStyle w:val="IndexLink"/>
                      <w:webHidden/>
                    </w:rPr>
                    <w:t>Cas 12. Infrastructures de la Défense</w:t>
                  </w:r>
                  <w:r>
                    <w:rPr>
                      <w:rStyle w:val="IndexLink"/>
                      <w:webHidden/>
                    </w:rPr>
                    <w:tab/>
                    <w:t>41</w:t>
                  </w:r>
                </w:hyperlink>
              </w:p>
              <w:p w14:paraId="68DA500B" w14:textId="77777777" w:rsidR="006774F4" w:rsidRDefault="006774F4" w:rsidP="00AA5586">
                <w:pPr>
                  <w:pStyle w:val="TOC2"/>
                  <w:tabs>
                    <w:tab w:val="right" w:leader="dot" w:pos="9783"/>
                  </w:tabs>
                </w:pPr>
                <w:hyperlink w:anchor="__RefHeading___Toc4925_3048004937">
                  <w:r>
                    <w:rPr>
                      <w:rStyle w:val="IndexLink"/>
                      <w:webHidden/>
                    </w:rPr>
                    <w:t>Ce qui s’est passé</w:t>
                  </w:r>
                  <w:r>
                    <w:rPr>
                      <w:rStyle w:val="IndexLink"/>
                      <w:webHidden/>
                    </w:rPr>
                    <w:tab/>
                    <w:t>41</w:t>
                  </w:r>
                </w:hyperlink>
              </w:p>
              <w:p w14:paraId="1A3DA74A" w14:textId="77777777" w:rsidR="006774F4" w:rsidRDefault="006774F4" w:rsidP="00AA5586">
                <w:pPr>
                  <w:pStyle w:val="TOC2"/>
                  <w:tabs>
                    <w:tab w:val="right" w:leader="dot" w:pos="9783"/>
                  </w:tabs>
                </w:pPr>
                <w:hyperlink w:anchor="__RefHeading___Toc4927_3048004937">
                  <w:r>
                    <w:rPr>
                      <w:rStyle w:val="IndexLink"/>
                      <w:webHidden/>
                    </w:rPr>
                    <w:t>Constats du rapport</w:t>
                  </w:r>
                  <w:r>
                    <w:rPr>
                      <w:rStyle w:val="IndexLink"/>
                      <w:webHidden/>
                    </w:rPr>
                    <w:tab/>
                    <w:t>42</w:t>
                  </w:r>
                </w:hyperlink>
              </w:p>
              <w:p w14:paraId="4A478DEF" w14:textId="77777777" w:rsidR="006774F4" w:rsidRDefault="006774F4" w:rsidP="00AA5586">
                <w:pPr>
                  <w:pStyle w:val="TOC2"/>
                  <w:tabs>
                    <w:tab w:val="right" w:leader="dot" w:pos="9783"/>
                  </w:tabs>
                </w:pPr>
                <w:hyperlink w:anchor="__RefHeading___Toc4929_3048004937">
                  <w:r>
                    <w:rPr>
                      <w:rStyle w:val="IndexLink"/>
                      <w:webHidden/>
                    </w:rPr>
                    <w:t>Codes du projet</w:t>
                  </w:r>
                  <w:r>
                    <w:rPr>
                      <w:rStyle w:val="IndexLink"/>
                      <w:webHidden/>
                    </w:rPr>
                    <w:tab/>
                    <w:t>42</w:t>
                  </w:r>
                </w:hyperlink>
              </w:p>
              <w:p w14:paraId="361CF1AD" w14:textId="77777777" w:rsidR="006774F4" w:rsidRDefault="006774F4" w:rsidP="00AA5586">
                <w:pPr>
                  <w:pStyle w:val="TOC2"/>
                  <w:tabs>
                    <w:tab w:val="right" w:leader="dot" w:pos="9783"/>
                  </w:tabs>
                </w:pPr>
                <w:hyperlink w:anchor="__RefHeading___Toc4931_3048004937">
                  <w:r>
                    <w:rPr>
                      <w:rStyle w:val="IndexLink"/>
                      <w:webHidden/>
                    </w:rPr>
                    <w:t>Ce qu’une intervention de Clarity Builders aurait permis d’aborder</w:t>
                  </w:r>
                  <w:r>
                    <w:rPr>
                      <w:rStyle w:val="IndexLink"/>
                      <w:webHidden/>
                    </w:rPr>
                    <w:tab/>
                    <w:t>42</w:t>
                  </w:r>
                </w:hyperlink>
              </w:p>
              <w:p w14:paraId="0F704A40" w14:textId="77777777" w:rsidR="006774F4" w:rsidRDefault="006774F4" w:rsidP="00AA5586">
                <w:pPr>
                  <w:pStyle w:val="TOC2"/>
                  <w:tabs>
                    <w:tab w:val="right" w:leader="dot" w:pos="9783"/>
                  </w:tabs>
                </w:pPr>
                <w:hyperlink w:anchor="__RefHeading___Toc4933_3048004937">
                  <w:r>
                    <w:rPr>
                      <w:rStyle w:val="IndexLink"/>
                      <w:webHidden/>
                    </w:rPr>
                    <w:t>Scénario illustratif</w:t>
                  </w:r>
                  <w:r>
                    <w:rPr>
                      <w:rStyle w:val="IndexLink"/>
                      <w:webHidden/>
                    </w:rPr>
                    <w:tab/>
                    <w:t>43</w:t>
                  </w:r>
                </w:hyperlink>
              </w:p>
              <w:p w14:paraId="61DD28E7" w14:textId="77777777" w:rsidR="006774F4" w:rsidRDefault="006774F4" w:rsidP="00AA5586">
                <w:pPr>
                  <w:pStyle w:val="TOC2"/>
                  <w:tabs>
                    <w:tab w:val="right" w:leader="dot" w:pos="9783"/>
                  </w:tabs>
                </w:pPr>
                <w:hyperlink w:anchor="__RefHeading___Toc4935_3048004937">
                  <w:r>
                    <w:rPr>
                      <w:rStyle w:val="IndexLink"/>
                      <w:webHidden/>
                    </w:rPr>
                    <w:t>Contrefactuel</w:t>
                  </w:r>
                  <w:r>
                    <w:rPr>
                      <w:rStyle w:val="IndexLink"/>
                      <w:webHidden/>
                    </w:rPr>
                    <w:tab/>
                    <w:t>43</w:t>
                  </w:r>
                </w:hyperlink>
              </w:p>
              <w:p w14:paraId="7C7713D6" w14:textId="77777777" w:rsidR="006774F4" w:rsidRDefault="006774F4" w:rsidP="00AA5586">
                <w:pPr>
                  <w:pStyle w:val="TOC1"/>
                  <w:tabs>
                    <w:tab w:val="right" w:leader="dot" w:pos="9783"/>
                  </w:tabs>
                </w:pPr>
                <w:hyperlink w:anchor="__RefHeading___Toc4937_3048004937">
                  <w:r>
                    <w:rPr>
                      <w:rStyle w:val="IndexLink"/>
                      <w:webHidden/>
                    </w:rPr>
                    <w:t>Cas 13. Muskrat Falls</w:t>
                  </w:r>
                  <w:r>
                    <w:rPr>
                      <w:rStyle w:val="IndexLink"/>
                      <w:webHidden/>
                    </w:rPr>
                    <w:tab/>
                    <w:t>43</w:t>
                  </w:r>
                </w:hyperlink>
              </w:p>
              <w:p w14:paraId="7F40E47C" w14:textId="77777777" w:rsidR="006774F4" w:rsidRDefault="006774F4" w:rsidP="00AA5586">
                <w:pPr>
                  <w:pStyle w:val="TOC2"/>
                  <w:tabs>
                    <w:tab w:val="right" w:leader="dot" w:pos="9783"/>
                  </w:tabs>
                </w:pPr>
                <w:hyperlink w:anchor="__RefHeading___Toc4939_3048004937">
                  <w:r>
                    <w:rPr>
                      <w:rStyle w:val="IndexLink"/>
                      <w:webHidden/>
                    </w:rPr>
                    <w:t>Ce qui s’est passé</w:t>
                  </w:r>
                  <w:r>
                    <w:rPr>
                      <w:rStyle w:val="IndexLink"/>
                      <w:webHidden/>
                    </w:rPr>
                    <w:tab/>
                    <w:t>44</w:t>
                  </w:r>
                </w:hyperlink>
              </w:p>
              <w:p w14:paraId="778A710A" w14:textId="77777777" w:rsidR="006774F4" w:rsidRDefault="006774F4" w:rsidP="00AA5586">
                <w:pPr>
                  <w:pStyle w:val="TOC2"/>
                  <w:tabs>
                    <w:tab w:val="right" w:leader="dot" w:pos="9783"/>
                  </w:tabs>
                </w:pPr>
                <w:hyperlink w:anchor="__RefHeading___Toc4941_3048004937">
                  <w:r>
                    <w:rPr>
                      <w:rStyle w:val="IndexLink"/>
                      <w:webHidden/>
                    </w:rPr>
                    <w:t>Constats du rapport</w:t>
                  </w:r>
                  <w:r>
                    <w:rPr>
                      <w:rStyle w:val="IndexLink"/>
                      <w:webHidden/>
                    </w:rPr>
                    <w:tab/>
                    <w:t>44</w:t>
                  </w:r>
                </w:hyperlink>
              </w:p>
              <w:p w14:paraId="151F808D" w14:textId="77777777" w:rsidR="006774F4" w:rsidRDefault="006774F4" w:rsidP="00AA5586">
                <w:pPr>
                  <w:pStyle w:val="TOC2"/>
                  <w:tabs>
                    <w:tab w:val="right" w:leader="dot" w:pos="9783"/>
                  </w:tabs>
                </w:pPr>
                <w:hyperlink w:anchor="__RefHeading___Toc4943_3048004937">
                  <w:r>
                    <w:rPr>
                      <w:rStyle w:val="IndexLink"/>
                      <w:webHidden/>
                    </w:rPr>
                    <w:t>Codes du projet</w:t>
                  </w:r>
                  <w:r>
                    <w:rPr>
                      <w:rStyle w:val="IndexLink"/>
                      <w:webHidden/>
                    </w:rPr>
                    <w:tab/>
                    <w:t>45</w:t>
                  </w:r>
                </w:hyperlink>
              </w:p>
              <w:p w14:paraId="749354B2" w14:textId="77777777" w:rsidR="006774F4" w:rsidRDefault="006774F4" w:rsidP="00AA5586">
                <w:pPr>
                  <w:pStyle w:val="TOC2"/>
                  <w:tabs>
                    <w:tab w:val="right" w:leader="dot" w:pos="9783"/>
                  </w:tabs>
                </w:pPr>
                <w:hyperlink w:anchor="__RefHeading___Toc4945_3048004937">
                  <w:r>
                    <w:rPr>
                      <w:rStyle w:val="IndexLink"/>
                      <w:webHidden/>
                    </w:rPr>
                    <w:t>Ce qu’une intervention de Clarity Builders aurait permis d’aborder</w:t>
                  </w:r>
                  <w:r>
                    <w:rPr>
                      <w:rStyle w:val="IndexLink"/>
                      <w:webHidden/>
                    </w:rPr>
                    <w:tab/>
                    <w:t>45</w:t>
                  </w:r>
                </w:hyperlink>
              </w:p>
              <w:p w14:paraId="532528B3" w14:textId="77777777" w:rsidR="006774F4" w:rsidRDefault="006774F4" w:rsidP="00AA5586">
                <w:pPr>
                  <w:pStyle w:val="TOC2"/>
                  <w:tabs>
                    <w:tab w:val="right" w:leader="dot" w:pos="9783"/>
                  </w:tabs>
                </w:pPr>
                <w:hyperlink w:anchor="__RefHeading___Toc4947_3048004937">
                  <w:r>
                    <w:rPr>
                      <w:rStyle w:val="IndexLink"/>
                      <w:webHidden/>
                    </w:rPr>
                    <w:t>Scénario illustratif</w:t>
                  </w:r>
                  <w:r>
                    <w:rPr>
                      <w:rStyle w:val="IndexLink"/>
                      <w:webHidden/>
                    </w:rPr>
                    <w:tab/>
                    <w:t>45</w:t>
                  </w:r>
                </w:hyperlink>
              </w:p>
              <w:p w14:paraId="53973491" w14:textId="77777777" w:rsidR="006774F4" w:rsidRDefault="006774F4" w:rsidP="00AA5586">
                <w:pPr>
                  <w:pStyle w:val="TOC2"/>
                  <w:tabs>
                    <w:tab w:val="right" w:leader="dot" w:pos="9783"/>
                  </w:tabs>
                </w:pPr>
                <w:hyperlink w:anchor="__RefHeading___Toc4949_3048004937">
                  <w:r>
                    <w:rPr>
                      <w:rStyle w:val="IndexLink"/>
                      <w:webHidden/>
                    </w:rPr>
                    <w:t>Contrefactuel</w:t>
                  </w:r>
                  <w:r>
                    <w:rPr>
                      <w:rStyle w:val="IndexLink"/>
                      <w:webHidden/>
                    </w:rPr>
                    <w:tab/>
                    <w:t>46</w:t>
                  </w:r>
                </w:hyperlink>
              </w:p>
              <w:p w14:paraId="6AC87AD6" w14:textId="77777777" w:rsidR="006774F4" w:rsidRDefault="006774F4" w:rsidP="00AA5586">
                <w:pPr>
                  <w:pStyle w:val="TOC1"/>
                  <w:tabs>
                    <w:tab w:val="right" w:leader="dot" w:pos="9783"/>
                  </w:tabs>
                </w:pPr>
                <w:hyperlink w:anchor="__RefHeading___Toc4951_3048004937">
                  <w:r>
                    <w:rPr>
                      <w:rStyle w:val="IndexLink"/>
                      <w:webHidden/>
                    </w:rPr>
                    <w:t>Cas 14. Unités 4 et 5 de Boundary Dam</w:t>
                  </w:r>
                  <w:r>
                    <w:rPr>
                      <w:rStyle w:val="IndexLink"/>
                      <w:webHidden/>
                    </w:rPr>
                    <w:tab/>
                    <w:t>46</w:t>
                  </w:r>
                </w:hyperlink>
              </w:p>
              <w:p w14:paraId="281D4D9E" w14:textId="77777777" w:rsidR="006774F4" w:rsidRDefault="006774F4" w:rsidP="00AA5586">
                <w:pPr>
                  <w:pStyle w:val="TOC2"/>
                  <w:tabs>
                    <w:tab w:val="right" w:leader="dot" w:pos="9783"/>
                  </w:tabs>
                </w:pPr>
                <w:hyperlink w:anchor="__RefHeading___Toc4953_3048004937">
                  <w:r>
                    <w:rPr>
                      <w:rStyle w:val="IndexLink"/>
                      <w:webHidden/>
                    </w:rPr>
                    <w:t>Ce qui s’est passé</w:t>
                  </w:r>
                  <w:r>
                    <w:rPr>
                      <w:rStyle w:val="IndexLink"/>
                      <w:webHidden/>
                    </w:rPr>
                    <w:tab/>
                    <w:t>46</w:t>
                  </w:r>
                </w:hyperlink>
              </w:p>
              <w:p w14:paraId="07377334" w14:textId="77777777" w:rsidR="006774F4" w:rsidRDefault="006774F4" w:rsidP="00AA5586">
                <w:pPr>
                  <w:pStyle w:val="TOC2"/>
                  <w:tabs>
                    <w:tab w:val="right" w:leader="dot" w:pos="9783"/>
                  </w:tabs>
                </w:pPr>
                <w:hyperlink w:anchor="__RefHeading___Toc4955_3048004937">
                  <w:r>
                    <w:rPr>
                      <w:rStyle w:val="IndexLink"/>
                      <w:webHidden/>
                    </w:rPr>
                    <w:t>Constats du rapport</w:t>
                  </w:r>
                  <w:r>
                    <w:rPr>
                      <w:rStyle w:val="IndexLink"/>
                      <w:webHidden/>
                    </w:rPr>
                    <w:tab/>
                    <w:t>47</w:t>
                  </w:r>
                </w:hyperlink>
              </w:p>
              <w:p w14:paraId="754B4C55" w14:textId="77777777" w:rsidR="006774F4" w:rsidRDefault="006774F4" w:rsidP="00AA5586">
                <w:pPr>
                  <w:pStyle w:val="TOC2"/>
                  <w:tabs>
                    <w:tab w:val="right" w:leader="dot" w:pos="9783"/>
                  </w:tabs>
                </w:pPr>
                <w:hyperlink w:anchor="__RefHeading___Toc4957_3048004937">
                  <w:r>
                    <w:rPr>
                      <w:rStyle w:val="IndexLink"/>
                      <w:webHidden/>
                    </w:rPr>
                    <w:t>Codes du projet</w:t>
                  </w:r>
                  <w:r>
                    <w:rPr>
                      <w:rStyle w:val="IndexLink"/>
                      <w:webHidden/>
                    </w:rPr>
                    <w:tab/>
                    <w:t>47</w:t>
                  </w:r>
                </w:hyperlink>
              </w:p>
              <w:p w14:paraId="64BC4CCB" w14:textId="77777777" w:rsidR="006774F4" w:rsidRDefault="006774F4" w:rsidP="00AA5586">
                <w:pPr>
                  <w:pStyle w:val="TOC2"/>
                  <w:tabs>
                    <w:tab w:val="right" w:leader="dot" w:pos="9783"/>
                  </w:tabs>
                </w:pPr>
                <w:hyperlink w:anchor="__RefHeading___Toc4959_3048004937">
                  <w:r>
                    <w:rPr>
                      <w:rStyle w:val="IndexLink"/>
                      <w:webHidden/>
                    </w:rPr>
                    <w:t>Ce qu’une intervention de Clarity Builders aurait permis d’aborder</w:t>
                  </w:r>
                  <w:r>
                    <w:rPr>
                      <w:rStyle w:val="IndexLink"/>
                      <w:webHidden/>
                    </w:rPr>
                    <w:tab/>
                    <w:t>47</w:t>
                  </w:r>
                </w:hyperlink>
              </w:p>
              <w:p w14:paraId="26DAE196" w14:textId="77777777" w:rsidR="006774F4" w:rsidRDefault="006774F4" w:rsidP="00AA5586">
                <w:pPr>
                  <w:pStyle w:val="TOC2"/>
                  <w:tabs>
                    <w:tab w:val="right" w:leader="dot" w:pos="9783"/>
                  </w:tabs>
                </w:pPr>
                <w:hyperlink w:anchor="__RefHeading___Toc4961_3048004937">
                  <w:r>
                    <w:rPr>
                      <w:rStyle w:val="IndexLink"/>
                      <w:webHidden/>
                    </w:rPr>
                    <w:t>Scénario illustratif</w:t>
                  </w:r>
                  <w:r>
                    <w:rPr>
                      <w:rStyle w:val="IndexLink"/>
                      <w:webHidden/>
                    </w:rPr>
                    <w:tab/>
                    <w:t>47</w:t>
                  </w:r>
                </w:hyperlink>
              </w:p>
              <w:p w14:paraId="360D092A" w14:textId="77777777" w:rsidR="006774F4" w:rsidRDefault="006774F4" w:rsidP="00AA5586">
                <w:pPr>
                  <w:pStyle w:val="TOC2"/>
                  <w:tabs>
                    <w:tab w:val="right" w:leader="dot" w:pos="9783"/>
                  </w:tabs>
                </w:pPr>
                <w:hyperlink w:anchor="__RefHeading___Toc4963_3048004937">
                  <w:r>
                    <w:rPr>
                      <w:rStyle w:val="IndexLink"/>
                      <w:webHidden/>
                    </w:rPr>
                    <w:t>Contrefactuel</w:t>
                  </w:r>
                  <w:r>
                    <w:rPr>
                      <w:rStyle w:val="IndexLink"/>
                      <w:webHidden/>
                    </w:rPr>
                    <w:tab/>
                    <w:t>48</w:t>
                  </w:r>
                </w:hyperlink>
              </w:p>
              <w:p w14:paraId="2D2569A6" w14:textId="77777777" w:rsidR="006774F4" w:rsidRDefault="006774F4" w:rsidP="00AA5586">
                <w:pPr>
                  <w:pStyle w:val="TOC1"/>
                  <w:tabs>
                    <w:tab w:val="right" w:leader="dot" w:pos="9783"/>
                  </w:tabs>
                </w:pPr>
                <w:hyperlink w:anchor="__RefHeading___Toc4965_3048004937">
                  <w:r>
                    <w:rPr>
                      <w:rStyle w:val="IndexLink"/>
                      <w:webHidden/>
                    </w:rPr>
                    <w:t>Cas 15. Logements sociaux au Nunavut</w:t>
                  </w:r>
                  <w:r>
                    <w:rPr>
                      <w:rStyle w:val="IndexLink"/>
                      <w:webHidden/>
                    </w:rPr>
                    <w:tab/>
                    <w:t>48</w:t>
                  </w:r>
                </w:hyperlink>
              </w:p>
              <w:p w14:paraId="0F52D388" w14:textId="77777777" w:rsidR="006774F4" w:rsidRDefault="006774F4" w:rsidP="00AA5586">
                <w:pPr>
                  <w:pStyle w:val="TOC2"/>
                  <w:tabs>
                    <w:tab w:val="right" w:leader="dot" w:pos="9783"/>
                  </w:tabs>
                </w:pPr>
                <w:hyperlink w:anchor="__RefHeading___Toc4967_3048004937">
                  <w:r>
                    <w:rPr>
                      <w:rStyle w:val="IndexLink"/>
                      <w:webHidden/>
                    </w:rPr>
                    <w:t>Ce qui s’est passé</w:t>
                  </w:r>
                  <w:r>
                    <w:rPr>
                      <w:rStyle w:val="IndexLink"/>
                      <w:webHidden/>
                    </w:rPr>
                    <w:tab/>
                    <w:t>49</w:t>
                  </w:r>
                </w:hyperlink>
              </w:p>
              <w:p w14:paraId="7789D428" w14:textId="77777777" w:rsidR="006774F4" w:rsidRDefault="006774F4" w:rsidP="00AA5586">
                <w:pPr>
                  <w:pStyle w:val="TOC2"/>
                  <w:tabs>
                    <w:tab w:val="right" w:leader="dot" w:pos="9783"/>
                  </w:tabs>
                </w:pPr>
                <w:hyperlink w:anchor="__RefHeading___Toc4969_3048004937">
                  <w:r>
                    <w:rPr>
                      <w:rStyle w:val="IndexLink"/>
                      <w:webHidden/>
                    </w:rPr>
                    <w:t>Constats du rapport</w:t>
                  </w:r>
                  <w:r>
                    <w:rPr>
                      <w:rStyle w:val="IndexLink"/>
                      <w:webHidden/>
                    </w:rPr>
                    <w:tab/>
                    <w:t>49</w:t>
                  </w:r>
                </w:hyperlink>
              </w:p>
              <w:p w14:paraId="7D9CF4DE" w14:textId="77777777" w:rsidR="006774F4" w:rsidRDefault="006774F4" w:rsidP="00AA5586">
                <w:pPr>
                  <w:pStyle w:val="TOC2"/>
                  <w:tabs>
                    <w:tab w:val="right" w:leader="dot" w:pos="9783"/>
                  </w:tabs>
                </w:pPr>
                <w:hyperlink w:anchor="__RefHeading___Toc4971_3048004937">
                  <w:r>
                    <w:rPr>
                      <w:rStyle w:val="IndexLink"/>
                      <w:webHidden/>
                    </w:rPr>
                    <w:t>Codes du projet</w:t>
                  </w:r>
                  <w:r>
                    <w:rPr>
                      <w:rStyle w:val="IndexLink"/>
                      <w:webHidden/>
                    </w:rPr>
                    <w:tab/>
                    <w:t>49</w:t>
                  </w:r>
                </w:hyperlink>
              </w:p>
              <w:p w14:paraId="096AF00C" w14:textId="77777777" w:rsidR="006774F4" w:rsidRDefault="006774F4" w:rsidP="00AA5586">
                <w:pPr>
                  <w:pStyle w:val="TOC2"/>
                  <w:tabs>
                    <w:tab w:val="right" w:leader="dot" w:pos="9783"/>
                  </w:tabs>
                </w:pPr>
                <w:hyperlink w:anchor="__RefHeading___Toc4973_3048004937">
                  <w:r>
                    <w:rPr>
                      <w:rStyle w:val="IndexLink"/>
                      <w:webHidden/>
                    </w:rPr>
                    <w:t>Ce qu’une intervention de Clarity Builders aurait permis d’aborder</w:t>
                  </w:r>
                  <w:r>
                    <w:rPr>
                      <w:rStyle w:val="IndexLink"/>
                      <w:webHidden/>
                    </w:rPr>
                    <w:tab/>
                    <w:t>49</w:t>
                  </w:r>
                </w:hyperlink>
              </w:p>
              <w:p w14:paraId="6687B886" w14:textId="77777777" w:rsidR="006774F4" w:rsidRDefault="006774F4" w:rsidP="00AA5586">
                <w:pPr>
                  <w:pStyle w:val="TOC2"/>
                  <w:tabs>
                    <w:tab w:val="right" w:leader="dot" w:pos="9783"/>
                  </w:tabs>
                </w:pPr>
                <w:hyperlink w:anchor="__RefHeading___Toc4975_3048004937">
                  <w:r>
                    <w:rPr>
                      <w:rStyle w:val="IndexLink"/>
                      <w:webHidden/>
                    </w:rPr>
                    <w:t>Scénario illustratif</w:t>
                  </w:r>
                  <w:r>
                    <w:rPr>
                      <w:rStyle w:val="IndexLink"/>
                      <w:webHidden/>
                    </w:rPr>
                    <w:tab/>
                    <w:t>50</w:t>
                  </w:r>
                </w:hyperlink>
              </w:p>
              <w:p w14:paraId="7FBEE769" w14:textId="77777777" w:rsidR="006774F4" w:rsidRDefault="006774F4" w:rsidP="00AA5586">
                <w:pPr>
                  <w:pStyle w:val="TOC2"/>
                  <w:tabs>
                    <w:tab w:val="right" w:leader="dot" w:pos="9783"/>
                  </w:tabs>
                </w:pPr>
                <w:hyperlink w:anchor="__RefHeading___Toc4977_3048004937">
                  <w:r>
                    <w:rPr>
                      <w:rStyle w:val="IndexLink"/>
                      <w:webHidden/>
                    </w:rPr>
                    <w:t>Contrefactuel</w:t>
                  </w:r>
                  <w:r>
                    <w:rPr>
                      <w:rStyle w:val="IndexLink"/>
                      <w:webHidden/>
                    </w:rPr>
                    <w:tab/>
                    <w:t>50</w:t>
                  </w:r>
                </w:hyperlink>
              </w:p>
              <w:p w14:paraId="59C09537" w14:textId="77777777" w:rsidR="006774F4" w:rsidRDefault="006774F4" w:rsidP="00AA5586">
                <w:pPr>
                  <w:pStyle w:val="TOC1"/>
                  <w:tabs>
                    <w:tab w:val="right" w:leader="dot" w:pos="9783"/>
                  </w:tabs>
                </w:pPr>
                <w:hyperlink w:anchor="__RefHeading___Toc4979_3048004937">
                  <w:r>
                    <w:rPr>
                      <w:rStyle w:val="IndexLink"/>
                      <w:webHidden/>
                    </w:rPr>
                    <w:t>7. Cinq comparateurs internationaux</w:t>
                  </w:r>
                  <w:r>
                    <w:rPr>
                      <w:rStyle w:val="IndexLink"/>
                      <w:webHidden/>
                    </w:rPr>
                    <w:tab/>
                    <w:t>50</w:t>
                  </w:r>
                </w:hyperlink>
              </w:p>
              <w:p w14:paraId="4C293260" w14:textId="77777777" w:rsidR="006774F4" w:rsidRDefault="006774F4" w:rsidP="00AA5586">
                <w:pPr>
                  <w:pStyle w:val="TOC2"/>
                  <w:tabs>
                    <w:tab w:val="right" w:leader="dot" w:pos="9783"/>
                  </w:tabs>
                </w:pPr>
                <w:hyperlink w:anchor="__RefHeading___Toc4981_3048004937">
                  <w:r>
                    <w:rPr>
                      <w:rStyle w:val="IndexLink"/>
                      <w:webHidden/>
                    </w:rPr>
                    <w:t>Comparateur 1. Tramway d’Édimbourg, Écosse</w:t>
                  </w:r>
                  <w:r>
                    <w:rPr>
                      <w:rStyle w:val="IndexLink"/>
                      <w:webHidden/>
                    </w:rPr>
                    <w:tab/>
                    <w:t>51</w:t>
                  </w:r>
                </w:hyperlink>
              </w:p>
              <w:p w14:paraId="637E6D15" w14:textId="77777777" w:rsidR="006774F4" w:rsidRDefault="006774F4" w:rsidP="00AA5586">
                <w:pPr>
                  <w:pStyle w:val="TOC2"/>
                  <w:tabs>
                    <w:tab w:val="right" w:leader="dot" w:pos="9783"/>
                  </w:tabs>
                </w:pPr>
                <w:hyperlink w:anchor="__RefHeading___Toc4983_3048004937">
                  <w:r>
                    <w:rPr>
                      <w:rStyle w:val="IndexLink"/>
                      <w:webHidden/>
                    </w:rPr>
                    <w:t>Constats du rapport</w:t>
                  </w:r>
                  <w:r>
                    <w:rPr>
                      <w:rStyle w:val="IndexLink"/>
                      <w:webHidden/>
                    </w:rPr>
                    <w:tab/>
                    <w:t>51</w:t>
                  </w:r>
                </w:hyperlink>
              </w:p>
              <w:p w14:paraId="042BA12A" w14:textId="77777777" w:rsidR="006774F4" w:rsidRDefault="006774F4" w:rsidP="00AA5586">
                <w:pPr>
                  <w:pStyle w:val="TOC2"/>
                  <w:tabs>
                    <w:tab w:val="right" w:leader="dot" w:pos="9783"/>
                  </w:tabs>
                </w:pPr>
                <w:hyperlink w:anchor="__RefHeading___Toc4985_3048004937">
                  <w:r>
                    <w:rPr>
                      <w:rStyle w:val="IndexLink"/>
                      <w:webHidden/>
                    </w:rPr>
                    <w:t>À comparer avec l’étape 1 du train léger d’Ottawa</w:t>
                  </w:r>
                  <w:r>
                    <w:rPr>
                      <w:rStyle w:val="IndexLink"/>
                      <w:webHidden/>
                    </w:rPr>
                    <w:tab/>
                    <w:t>52</w:t>
                  </w:r>
                </w:hyperlink>
              </w:p>
              <w:p w14:paraId="18D27644" w14:textId="77777777" w:rsidR="006774F4" w:rsidRDefault="006774F4" w:rsidP="00AA5586">
                <w:pPr>
                  <w:pStyle w:val="TOC2"/>
                  <w:tabs>
                    <w:tab w:val="right" w:leader="dot" w:pos="9783"/>
                  </w:tabs>
                </w:pPr>
                <w:hyperlink w:anchor="__RefHeading___Toc4987_3048004937">
                  <w:r>
                    <w:rPr>
                      <w:rStyle w:val="IndexLink"/>
                      <w:webHidden/>
                    </w:rPr>
                    <w:t>Comparateur 2. Bâtiments scolaires en Angleterre, Royaume-Uni</w:t>
                  </w:r>
                  <w:r>
                    <w:rPr>
                      <w:rStyle w:val="IndexLink"/>
                      <w:webHidden/>
                    </w:rPr>
                    <w:tab/>
                    <w:t>52</w:t>
                  </w:r>
                </w:hyperlink>
              </w:p>
              <w:p w14:paraId="5D0FD668" w14:textId="77777777" w:rsidR="006774F4" w:rsidRDefault="006774F4" w:rsidP="00AA5586">
                <w:pPr>
                  <w:pStyle w:val="TOC2"/>
                  <w:tabs>
                    <w:tab w:val="right" w:leader="dot" w:pos="9783"/>
                  </w:tabs>
                </w:pPr>
                <w:hyperlink w:anchor="__RefHeading___Toc4989_3048004937">
                  <w:r>
                    <w:rPr>
                      <w:rStyle w:val="IndexLink"/>
                      <w:webHidden/>
                    </w:rPr>
                    <w:t>Constats du rapport</w:t>
                  </w:r>
                  <w:r>
                    <w:rPr>
                      <w:rStyle w:val="IndexLink"/>
                      <w:webHidden/>
                    </w:rPr>
                    <w:tab/>
                    <w:t>52</w:t>
                  </w:r>
                </w:hyperlink>
              </w:p>
              <w:p w14:paraId="43A14D77" w14:textId="77777777" w:rsidR="006774F4" w:rsidRDefault="006774F4" w:rsidP="00AA5586">
                <w:pPr>
                  <w:pStyle w:val="TOC2"/>
                  <w:tabs>
                    <w:tab w:val="right" w:leader="dot" w:pos="9783"/>
                  </w:tabs>
                </w:pPr>
                <w:hyperlink w:anchor="__RefHeading___Toc4991_3048004937">
                  <w:r>
                    <w:rPr>
                      <w:rStyle w:val="IndexLink"/>
                      <w:webHidden/>
                    </w:rPr>
                    <w:t>À comparer avec la planification des immobilisations scolaires en Nouvelle-Écosse</w:t>
                  </w:r>
                  <w:r>
                    <w:rPr>
                      <w:rStyle w:val="IndexLink"/>
                      <w:webHidden/>
                    </w:rPr>
                    <w:tab/>
                    <w:t>53</w:t>
                  </w:r>
                </w:hyperlink>
              </w:p>
              <w:p w14:paraId="1E25A779" w14:textId="77777777" w:rsidR="006774F4" w:rsidRDefault="006774F4" w:rsidP="00AA5586">
                <w:pPr>
                  <w:pStyle w:val="TOC2"/>
                  <w:tabs>
                    <w:tab w:val="right" w:leader="dot" w:pos="9783"/>
                  </w:tabs>
                </w:pPr>
                <w:hyperlink w:anchor="__RefHeading___Toc4993_3048004937">
                  <w:r>
                    <w:rPr>
                      <w:rStyle w:val="IndexLink"/>
                      <w:webHidden/>
                    </w:rPr>
                    <w:t>Comparateur 3. Train léger du centre-ville et du Sud-Est de Sydney, Australie, Nouvelle-Galles du Sud</w:t>
                  </w:r>
                  <w:r>
                    <w:rPr>
                      <w:rStyle w:val="IndexLink"/>
                      <w:webHidden/>
                    </w:rPr>
                    <w:tab/>
                    <w:t>53</w:t>
                  </w:r>
                </w:hyperlink>
              </w:p>
              <w:p w14:paraId="25968D3F" w14:textId="77777777" w:rsidR="006774F4" w:rsidRDefault="006774F4" w:rsidP="00AA5586">
                <w:pPr>
                  <w:pStyle w:val="TOC2"/>
                  <w:tabs>
                    <w:tab w:val="right" w:leader="dot" w:pos="9783"/>
                  </w:tabs>
                </w:pPr>
                <w:hyperlink w:anchor="__RefHeading___Toc4995_3048004937">
                  <w:r>
                    <w:rPr>
                      <w:rStyle w:val="IndexLink"/>
                      <w:webHidden/>
                    </w:rPr>
                    <w:t>Constats du rapport</w:t>
                  </w:r>
                  <w:r>
                    <w:rPr>
                      <w:rStyle w:val="IndexLink"/>
                      <w:webHidden/>
                    </w:rPr>
                    <w:tab/>
                    <w:t>53</w:t>
                  </w:r>
                </w:hyperlink>
              </w:p>
              <w:p w14:paraId="1BB57DE2" w14:textId="77777777" w:rsidR="006774F4" w:rsidRDefault="006774F4" w:rsidP="00AA5586">
                <w:pPr>
                  <w:pStyle w:val="TOC2"/>
                  <w:tabs>
                    <w:tab w:val="right" w:leader="dot" w:pos="9783"/>
                  </w:tabs>
                </w:pPr>
                <w:hyperlink w:anchor="__RefHeading___Toc4997_3048004937">
                  <w:r>
                    <w:rPr>
                      <w:rStyle w:val="IndexLink"/>
                      <w:webHidden/>
                    </w:rPr>
                    <w:t>À comparer avec le Réseau express métropolitain</w:t>
                  </w:r>
                  <w:r>
                    <w:rPr>
                      <w:rStyle w:val="IndexLink"/>
                      <w:webHidden/>
                    </w:rPr>
                    <w:tab/>
                    <w:t>53</w:t>
                  </w:r>
                </w:hyperlink>
              </w:p>
              <w:p w14:paraId="1CAB1255" w14:textId="77777777" w:rsidR="006774F4" w:rsidRDefault="006774F4" w:rsidP="00AA5586">
                <w:pPr>
                  <w:pStyle w:val="TOC2"/>
                  <w:tabs>
                    <w:tab w:val="right" w:leader="dot" w:pos="9783"/>
                  </w:tabs>
                </w:pPr>
                <w:hyperlink w:anchor="__RefHeading___Toc4999_3048004937">
                  <w:r>
                    <w:rPr>
                      <w:rStyle w:val="IndexLink"/>
                      <w:webHidden/>
                    </w:rPr>
                    <w:t>Comparateur 4. Biens immobiliers fédéraux des États-Unis, États-Unis</w:t>
                  </w:r>
                  <w:r>
                    <w:rPr>
                      <w:rStyle w:val="IndexLink"/>
                      <w:webHidden/>
                    </w:rPr>
                    <w:tab/>
                    <w:t>54</w:t>
                  </w:r>
                </w:hyperlink>
              </w:p>
              <w:p w14:paraId="69EB0870" w14:textId="77777777" w:rsidR="006774F4" w:rsidRDefault="006774F4" w:rsidP="00AA5586">
                <w:pPr>
                  <w:pStyle w:val="TOC2"/>
                  <w:tabs>
                    <w:tab w:val="right" w:leader="dot" w:pos="9783"/>
                  </w:tabs>
                </w:pPr>
                <w:hyperlink w:anchor="__RefHeading___Toc5001_3048004937">
                  <w:r>
                    <w:rPr>
                      <w:rStyle w:val="IndexLink"/>
                      <w:webHidden/>
                    </w:rPr>
                    <w:t>Constats du rapport</w:t>
                  </w:r>
                  <w:r>
                    <w:rPr>
                      <w:rStyle w:val="IndexLink"/>
                      <w:webHidden/>
                    </w:rPr>
                    <w:tab/>
                    <w:t>54</w:t>
                  </w:r>
                </w:hyperlink>
              </w:p>
              <w:p w14:paraId="78AFAE6A" w14:textId="77777777" w:rsidR="006774F4" w:rsidRDefault="006774F4" w:rsidP="00AA5586">
                <w:pPr>
                  <w:pStyle w:val="TOC2"/>
                  <w:tabs>
                    <w:tab w:val="right" w:leader="dot" w:pos="9783"/>
                  </w:tabs>
                </w:pPr>
                <w:hyperlink w:anchor="__RefHeading___Toc5003_3048004937">
                  <w:r>
                    <w:rPr>
                      <w:rStyle w:val="IndexLink"/>
                      <w:webHidden/>
                    </w:rPr>
                    <w:t>À comparer avec le portefeuille fédéral de locaux à bureaux</w:t>
                  </w:r>
                  <w:r>
                    <w:rPr>
                      <w:rStyle w:val="IndexLink"/>
                      <w:webHidden/>
                    </w:rPr>
                    <w:tab/>
                    <w:t>54</w:t>
                  </w:r>
                </w:hyperlink>
              </w:p>
              <w:p w14:paraId="06C310C6" w14:textId="77777777" w:rsidR="006774F4" w:rsidRDefault="006774F4" w:rsidP="00AA5586">
                <w:pPr>
                  <w:pStyle w:val="TOC2"/>
                  <w:tabs>
                    <w:tab w:val="right" w:leader="dot" w:pos="9783"/>
                  </w:tabs>
                </w:pPr>
                <w:hyperlink w:anchor="__RefHeading___Toc5005_3048004937">
                  <w:r>
                    <w:rPr>
                      <w:rStyle w:val="IndexLink"/>
                      <w:webHidden/>
                    </w:rPr>
                    <w:t>Comparateur 5. National Children’s Hospital, Dublin, Irlande</w:t>
                  </w:r>
                  <w:r>
                    <w:rPr>
                      <w:rStyle w:val="IndexLink"/>
                      <w:webHidden/>
                    </w:rPr>
                    <w:tab/>
                    <w:t>54</w:t>
                  </w:r>
                </w:hyperlink>
              </w:p>
              <w:p w14:paraId="04671D94" w14:textId="77777777" w:rsidR="006774F4" w:rsidRDefault="006774F4" w:rsidP="00AA5586">
                <w:pPr>
                  <w:pStyle w:val="TOC2"/>
                  <w:tabs>
                    <w:tab w:val="right" w:leader="dot" w:pos="9783"/>
                  </w:tabs>
                </w:pPr>
                <w:hyperlink w:anchor="__RefHeading___Toc5007_3048004937">
                  <w:r>
                    <w:rPr>
                      <w:rStyle w:val="IndexLink"/>
                      <w:webHidden/>
                    </w:rPr>
                    <w:t>Constats du rapport</w:t>
                  </w:r>
                  <w:r>
                    <w:rPr>
                      <w:rStyle w:val="IndexLink"/>
                      <w:webHidden/>
                    </w:rPr>
                    <w:tab/>
                    <w:t>55</w:t>
                  </w:r>
                </w:hyperlink>
              </w:p>
              <w:p w14:paraId="02E6593D" w14:textId="77777777" w:rsidR="006774F4" w:rsidRDefault="006774F4" w:rsidP="00AA5586">
                <w:pPr>
                  <w:pStyle w:val="TOC2"/>
                  <w:tabs>
                    <w:tab w:val="right" w:leader="dot" w:pos="9783"/>
                  </w:tabs>
                </w:pPr>
                <w:hyperlink w:anchor="__RefHeading___Toc5009_3048004937">
                  <w:r>
                    <w:rPr>
                      <w:rStyle w:val="IndexLink"/>
                      <w:webHidden/>
                    </w:rPr>
                    <w:t>À comparer avec l’Hôpital territorial Stanton</w:t>
                  </w:r>
                  <w:r>
                    <w:rPr>
                      <w:rStyle w:val="IndexLink"/>
                      <w:webHidden/>
                    </w:rPr>
                    <w:tab/>
                    <w:t>55</w:t>
                  </w:r>
                </w:hyperlink>
              </w:p>
              <w:p w14:paraId="59FA1B8D" w14:textId="77777777" w:rsidR="006774F4" w:rsidRDefault="006774F4" w:rsidP="00AA5586">
                <w:pPr>
                  <w:pStyle w:val="TOC1"/>
                  <w:tabs>
                    <w:tab w:val="right" w:leader="dot" w:pos="9783"/>
                  </w:tabs>
                </w:pPr>
                <w:hyperlink w:anchor="__RefHeading___Toc5011_3048004937">
                  <w:r>
                    <w:rPr>
                      <w:rStyle w:val="IndexLink"/>
                      <w:webHidden/>
                    </w:rPr>
                    <w:t>8. Ce que ce livre affirme — et ce qu’il n’affirme pas</w:t>
                  </w:r>
                  <w:r>
                    <w:rPr>
                      <w:rStyle w:val="IndexLink"/>
                      <w:webHidden/>
                    </w:rPr>
                    <w:tab/>
                    <w:t>55</w:t>
                  </w:r>
                </w:hyperlink>
              </w:p>
              <w:p w14:paraId="6AFFD85F" w14:textId="77777777" w:rsidR="006774F4" w:rsidRDefault="006774F4" w:rsidP="00AA5586">
                <w:pPr>
                  <w:pStyle w:val="TOC2"/>
                  <w:tabs>
                    <w:tab w:val="right" w:leader="dot" w:pos="9783"/>
                  </w:tabs>
                </w:pPr>
                <w:hyperlink w:anchor="__RefHeading___Toc5013_3048004937">
                  <w:r>
                    <w:rPr>
                      <w:rStyle w:val="IndexLink"/>
                      <w:webHidden/>
                    </w:rPr>
                    <w:t>Quatre affirmations étayées par ce livre</w:t>
                  </w:r>
                  <w:r>
                    <w:rPr>
                      <w:rStyle w:val="IndexLink"/>
                      <w:webHidden/>
                    </w:rPr>
                    <w:tab/>
                    <w:t>55</w:t>
                  </w:r>
                </w:hyperlink>
              </w:p>
              <w:p w14:paraId="741CB7C9" w14:textId="77777777" w:rsidR="006774F4" w:rsidRDefault="006774F4" w:rsidP="00AA5586">
                <w:pPr>
                  <w:pStyle w:val="TOC2"/>
                  <w:tabs>
                    <w:tab w:val="right" w:leader="dot" w:pos="9783"/>
                  </w:tabs>
                </w:pPr>
                <w:hyperlink w:anchor="__RefHeading___Toc5015_3048004937">
                  <w:r>
                    <w:rPr>
                      <w:rStyle w:val="IndexLink"/>
                      <w:webHidden/>
                    </w:rPr>
                    <w:t>Quatre affirmations que ce livre n’étaye pas</w:t>
                  </w:r>
                  <w:r>
                    <w:rPr>
                      <w:rStyle w:val="IndexLink"/>
                      <w:webHidden/>
                    </w:rPr>
                    <w:tab/>
                    <w:t>56</w:t>
                  </w:r>
                </w:hyperlink>
              </w:p>
              <w:p w14:paraId="0CC37CDA" w14:textId="77777777" w:rsidR="006774F4" w:rsidRDefault="006774F4" w:rsidP="00AA5586">
                <w:pPr>
                  <w:pStyle w:val="TOC1"/>
                  <w:tabs>
                    <w:tab w:val="right" w:leader="dot" w:pos="9783"/>
                  </w:tabs>
                </w:pPr>
                <w:hyperlink w:anchor="__RefHeading___Toc5017_3048004937">
                  <w:r>
                    <w:rPr>
                      <w:rStyle w:val="IndexLink"/>
                      <w:webHidden/>
                    </w:rPr>
                    <w:t>9. Ce qu’un propriétaire devrait en retenir</w:t>
                  </w:r>
                  <w:r>
                    <w:rPr>
                      <w:rStyle w:val="IndexLink"/>
                      <w:webHidden/>
                    </w:rPr>
                    <w:tab/>
                    <w:t>56</w:t>
                  </w:r>
                </w:hyperlink>
              </w:p>
              <w:p w14:paraId="42998126" w14:textId="77777777" w:rsidR="006774F4" w:rsidRDefault="006774F4" w:rsidP="00AA5586">
                <w:pPr>
                  <w:pStyle w:val="TOC2"/>
                  <w:tabs>
                    <w:tab w:val="right" w:leader="dot" w:pos="9783"/>
                  </w:tabs>
                </w:pPr>
                <w:hyperlink w:anchor="__RefHeading___Toc5019_3048004937">
                  <w:r>
                    <w:rPr>
                      <w:rStyle w:val="IndexLink"/>
                      <w:webHidden/>
                    </w:rPr>
                    <w:t>Les trois messages que Clarity Builders adresserait à un propriétaire qui lit ce livre</w:t>
                  </w:r>
                  <w:r>
                    <w:rPr>
                      <w:rStyle w:val="IndexLink"/>
                      <w:webHidden/>
                    </w:rPr>
                    <w:tab/>
                    <w:t>57</w:t>
                  </w:r>
                </w:hyperlink>
              </w:p>
              <w:p w14:paraId="15FC735D" w14:textId="77777777" w:rsidR="006774F4" w:rsidRDefault="006774F4" w:rsidP="00AA5586">
                <w:pPr>
                  <w:pStyle w:val="TOC1"/>
                  <w:tabs>
                    <w:tab w:val="right" w:leader="dot" w:pos="9783"/>
                  </w:tabs>
                </w:pPr>
                <w:hyperlink w:anchor="__RefHeading___Toc5021_3048004937">
                  <w:r>
                    <w:rPr>
                      <w:rStyle w:val="IndexLink"/>
                      <w:webHidden/>
                    </w:rPr>
                    <w:t>Annexe A. Codes de cause</w:t>
                  </w:r>
                  <w:r>
                    <w:rPr>
                      <w:rStyle w:val="IndexLink"/>
                      <w:webHidden/>
                    </w:rPr>
                    <w:tab/>
                    <w:t>58</w:t>
                  </w:r>
                </w:hyperlink>
              </w:p>
              <w:p w14:paraId="10E2611F" w14:textId="77777777" w:rsidR="006774F4" w:rsidRDefault="006774F4" w:rsidP="00AA5586">
                <w:pPr>
                  <w:pStyle w:val="TOC1"/>
                  <w:tabs>
                    <w:tab w:val="right" w:leader="dot" w:pos="9783"/>
                  </w:tabs>
                </w:pPr>
                <w:hyperlink w:anchor="__RefHeading___Toc5023_3048004937">
                  <w:r>
                    <w:rPr>
                      <w:rStyle w:val="IndexLink"/>
                      <w:webHidden/>
                    </w:rPr>
                    <w:t>Annexe B. Sources</w:t>
                  </w:r>
                  <w:r>
                    <w:rPr>
                      <w:rStyle w:val="IndexLink"/>
                      <w:webHidden/>
                    </w:rPr>
                    <w:tab/>
                    <w:t>59</w:t>
                  </w:r>
                </w:hyperlink>
              </w:p>
              <w:p w14:paraId="57B4ADCA" w14:textId="77777777" w:rsidR="006774F4" w:rsidRDefault="006774F4" w:rsidP="00AA5586">
                <w:pPr>
                  <w:pStyle w:val="TOC2"/>
                  <w:tabs>
                    <w:tab w:val="right" w:leader="dot" w:pos="9783"/>
                  </w:tabs>
                </w:pPr>
                <w:hyperlink w:anchor="__RefHeading___Toc5025_3048004937">
                  <w:r>
                    <w:rPr>
                      <w:rStyle w:val="IndexLink"/>
                      <w:webHidden/>
                    </w:rPr>
                    <w:t>Les 15 cas canadiens</w:t>
                  </w:r>
                  <w:r>
                    <w:rPr>
                      <w:rStyle w:val="IndexLink"/>
                      <w:webHidden/>
                    </w:rPr>
                    <w:tab/>
                    <w:t>59</w:t>
                  </w:r>
                </w:hyperlink>
              </w:p>
              <w:p w14:paraId="497BFBD1" w14:textId="77777777" w:rsidR="006774F4" w:rsidRDefault="006774F4" w:rsidP="00AA5586">
                <w:pPr>
                  <w:pStyle w:val="TOC2"/>
                  <w:tabs>
                    <w:tab w:val="right" w:leader="dot" w:pos="9783"/>
                  </w:tabs>
                </w:pPr>
                <w:hyperlink w:anchor="__RefHeading___Toc5027_3048004937">
                  <w:r>
                    <w:rPr>
                      <w:rStyle w:val="IndexLink"/>
                      <w:webHidden/>
                    </w:rPr>
                    <w:t>Les cinq comparateurs internationaux</w:t>
                  </w:r>
                  <w:r>
                    <w:rPr>
                      <w:rStyle w:val="IndexLink"/>
                      <w:webHidden/>
                    </w:rPr>
                    <w:tab/>
                    <w:t>60</w:t>
                  </w:r>
                </w:hyperlink>
              </w:p>
              <w:p w14:paraId="34786E2C" w14:textId="77777777" w:rsidR="006774F4" w:rsidRDefault="006774F4" w:rsidP="00AA5586">
                <w:pPr>
                  <w:pStyle w:val="TOC2"/>
                  <w:tabs>
                    <w:tab w:val="right" w:leader="dot" w:pos="9783"/>
                  </w:tabs>
                </w:pPr>
                <w:hyperlink w:anchor="__RefHeading___Toc5029_3048004937">
                  <w:r>
                    <w:rPr>
                      <w:rStyle w:val="IndexLink"/>
                      <w:webHidden/>
                    </w:rPr>
                    <w:t>Le registre lui-même</w:t>
                  </w:r>
                  <w:r>
                    <w:rPr>
                      <w:rStyle w:val="IndexLink"/>
                      <w:webHidden/>
                    </w:rPr>
                    <w:tab/>
                    <w:t>60</w:t>
                  </w:r>
                </w:hyperlink>
                <w:r>
                  <w:rPr>
                    <w:rStyle w:val="IndexLink"/>
                  </w:rPr>
                  <w:fldChar w:fldCharType="end"/>
                </w:r>
              </w:p>
            </w:sdtContent>
          </w:sdt>
          <w:p w14:paraId="0B276162" w14:textId="77777777" w:rsidR="006774F4" w:rsidRDefault="006774F4" w:rsidP="00AA5586"/>
          <w:p w14:paraId="00CFA673" w14:textId="77777777" w:rsidR="006774F4" w:rsidRDefault="006774F4" w:rsidP="00AA5586">
            <w:pPr>
              <w:spacing w:after="0" w:line="240" w:lineRule="auto"/>
              <w:rPr>
                <w:b/>
                <w:bCs/>
                <w:color w:val="1B3A6B"/>
                <w:sz w:val="20"/>
                <w:szCs w:val="20"/>
              </w:rPr>
            </w:pPr>
          </w:p>
        </w:tc>
        <w:tc>
          <w:tcPr>
            <w:tcW w:w="353" w:type="dxa"/>
            <w:shd w:val="clear" w:color="auto" w:fill="F2F4F7"/>
          </w:tcPr>
          <w:p w14:paraId="393145F2" w14:textId="77777777" w:rsidR="006774F4" w:rsidRDefault="006774F4" w:rsidP="00AA5586">
            <w:pPr>
              <w:spacing w:after="0" w:line="240" w:lineRule="auto"/>
              <w:jc w:val="right"/>
              <w:rPr>
                <w:color w:val="5A7A9A"/>
                <w:sz w:val="20"/>
                <w:szCs w:val="20"/>
              </w:rPr>
            </w:pPr>
          </w:p>
        </w:tc>
      </w:tr>
    </w:tbl>
    <w:p w14:paraId="081DA8B2" w14:textId="77777777" w:rsidR="006774F4" w:rsidRDefault="006774F4" w:rsidP="006774F4">
      <w:r>
        <w:lastRenderedPageBreak/>
        <w:br w:type="page"/>
      </w:r>
    </w:p>
    <w:p w14:paraId="74DD599A" w14:textId="77777777" w:rsidR="006774F4" w:rsidRPr="006774F4" w:rsidRDefault="006774F4" w:rsidP="006774F4">
      <w:pPr>
        <w:pStyle w:val="Heading1"/>
        <w:rPr>
          <w:b/>
          <w:bCs/>
          <w:color w:val="1B3A6B"/>
          <w:sz w:val="28"/>
          <w:szCs w:val="28"/>
          <w:lang w:val="fr-FR"/>
        </w:rPr>
      </w:pPr>
      <w:bookmarkStart w:id="0" w:name="__RefHeading___Toc4753_3048004937"/>
      <w:bookmarkStart w:id="1" w:name="_Toc239750644"/>
      <w:bookmarkEnd w:id="0"/>
      <w:r>
        <w:rPr>
          <w:b/>
          <w:bCs/>
          <w:lang w:val="fr-CA"/>
        </w:rPr>
        <w:lastRenderedPageBreak/>
        <w:t>1.  Objet du présent livre blanc</w:t>
      </w:r>
      <w:bookmarkEnd w:id="1"/>
    </w:p>
    <w:p w14:paraId="6AC357D6" w14:textId="77777777" w:rsidR="006774F4" w:rsidRPr="006774F4" w:rsidRDefault="006774F4" w:rsidP="006774F4">
      <w:pPr>
        <w:rPr>
          <w:lang w:val="fr-FR"/>
        </w:rPr>
      </w:pPr>
      <w:r>
        <w:rPr>
          <w:lang w:val="fr-CA"/>
        </w:rPr>
        <w:t>La plupart des arguments en faveur de la transformation numérique dans l’environnement bâti sont présentés en regardant vers l’avenir : adoptez la technologie, suivez la norme, et voici le rendement auquel vous devriez vous attendre. Le problème avec cette façon de raisonner, c’est que les chiffres avancés proviennent presque toujours d’ailleurs : d’un autre pays, d’une autre décennie ou de l’étude d’un fournisseur. Et un propriétaire à qui l’on a déjà vendu ce type de promesse sait faire la différence.</w:t>
      </w:r>
    </w:p>
    <w:p w14:paraId="630DA659" w14:textId="77777777" w:rsidR="006774F4" w:rsidRPr="006774F4" w:rsidRDefault="006774F4" w:rsidP="006774F4">
      <w:pPr>
        <w:rPr>
          <w:lang w:val="fr-FR"/>
        </w:rPr>
      </w:pPr>
      <w:r>
        <w:rPr>
          <w:lang w:val="fr-CA"/>
        </w:rPr>
        <w:t>Ce livre prend le raisonnement dans l’autre sens. Il part de projets publics canadiens qui ont connu des difficultés et pour lesquels un vérificateur général, un commissaire ou un examinateur indépendant a déjà documenté ce qui s’est passé et pourquoi. Il pose ensuite une question plus ciblée que celle que l’on pose habituellement : parmi les causes relevées dans ces rapports, lesquelles relèvent de défaillances dans la gestion de l’information ou la prise de décision, et qu’aurait changé une autre discipline de gestion de l’information?</w:t>
      </w:r>
    </w:p>
    <w:p w14:paraId="1DB39CF8" w14:textId="77777777" w:rsidR="006774F4" w:rsidRPr="006774F4" w:rsidRDefault="006774F4" w:rsidP="006774F4">
      <w:pPr>
        <w:rPr>
          <w:lang w:val="fr-FR"/>
        </w:rPr>
      </w:pPr>
      <w:r>
        <w:rPr>
          <w:lang w:val="fr-CA"/>
        </w:rPr>
        <w:t>La réponse n’est pas que le passage au numérique aurait sauvé tous les projets. Plusieurs des projets présentés dans ce livre ont été touchés par des facteurs sur lesquels aucun système d’information n’a de prise : un affaissement de chaussée, une pandémie, le prix mondial de l’acier, un fournisseur incapable de construire un véhicule fiable. Nous les nommons lorsqu’ils sont en cause, parce qu’un ouvrage qui en affirme trop est plus facile à écarter qu’un ouvrage qui avance moins de choses, mais les démontre.</w:t>
      </w:r>
    </w:p>
    <w:p w14:paraId="0E999A82" w14:textId="77777777" w:rsidR="006774F4" w:rsidRPr="006774F4" w:rsidRDefault="006774F4" w:rsidP="006774F4">
      <w:pPr>
        <w:rPr>
          <w:lang w:val="fr-FR"/>
        </w:rPr>
      </w:pPr>
      <w:r>
        <w:rPr>
          <w:lang w:val="fr-CA"/>
        </w:rPr>
        <w:t>Ce que les rapports montrent toutefois, de façon répétée et dans toutes les administrations du pays, c’est une deuxième couche de défaillances sous la première. Des décideurs ont reçu des informations inexactes. L’état des biens était inconnu. Les rôles étaient mal définis. La trace expliquant pourquoi une décision avait été prise n’existait plus lorsqu’on a voulu la retrouver. Les coûts du cycle de vie n’avaient jamais été financés parce qu’ils n’avaient jamais été prévus. Cette couche-là n’a rien à voir avec la météo. Elle découle de la façon dont une organisation choisit de gérer l’information, et ce choix peut être modifié avant même le début du projet.</w:t>
      </w:r>
    </w:p>
    <w:p w14:paraId="35C91A7C" w14:textId="77777777" w:rsidR="006774F4" w:rsidRPr="006774F4" w:rsidRDefault="006774F4" w:rsidP="006774F4">
      <w:pPr>
        <w:pStyle w:val="Heading2"/>
        <w:rPr>
          <w:lang w:val="fr-FR"/>
        </w:rPr>
      </w:pPr>
      <w:bookmarkStart w:id="2" w:name="__RefHeading___Toc4755_3048004937"/>
      <w:bookmarkEnd w:id="2"/>
      <w:r>
        <w:rPr>
          <w:lang w:val="fr-CA"/>
        </w:rPr>
        <w:t>Résumé des constats du présent livre blanc</w:t>
      </w:r>
    </w:p>
    <w:p w14:paraId="7F09D5CB" w14:textId="77777777" w:rsidR="006774F4" w:rsidRPr="006774F4" w:rsidRDefault="006774F4" w:rsidP="006774F4">
      <w:pPr>
        <w:pBdr>
          <w:top w:val="single" w:sz="6" w:space="0" w:color="E2E8F0"/>
          <w:left w:val="single" w:sz="24" w:space="0" w:color="E2E8F0"/>
          <w:bottom w:val="single" w:sz="6" w:space="0" w:color="E2E8F0"/>
          <w:right w:val="single" w:sz="24" w:space="0" w:color="E2E8F0"/>
        </w:pBdr>
        <w:shd w:val="clear" w:color="auto" w:fill="E2E8F0"/>
        <w:spacing w:after="210"/>
        <w:rPr>
          <w:lang w:val="fr-FR"/>
        </w:rPr>
      </w:pPr>
      <w:r>
        <w:rPr>
          <w:sz w:val="21"/>
          <w:szCs w:val="21"/>
          <w:lang w:val="fr-CA"/>
        </w:rPr>
        <w:t>Dans 4 des 5 rapports du secteur public canadien que nous avons examinés, une défaillance liée à l’information ou à la prise de décision constituait une cause contributive documentée du problème étudié. Ce constat se vérifie dans 81,8 % des 110 rapports canadiens et dans 85,0 % des 20 rapports internationaux examinés et codés selon la même méthode. Il ne s’agit ni d’un problème propre au Canada ni d’un problème technologique : les données montrent plutôt ce qui se produit lorsque personne n’est clairement responsable de fournir l’information dont une décision dépend.</w:t>
      </w:r>
    </w:p>
    <w:p w14:paraId="375BC947" w14:textId="77777777" w:rsidR="006774F4" w:rsidRPr="006774F4" w:rsidRDefault="006774F4" w:rsidP="006774F4">
      <w:pPr>
        <w:pStyle w:val="Heading1"/>
        <w:rPr>
          <w:b/>
          <w:bCs/>
          <w:color w:val="1B3A6B"/>
          <w:sz w:val="28"/>
          <w:szCs w:val="28"/>
          <w:lang w:val="fr-FR"/>
        </w:rPr>
      </w:pPr>
      <w:bookmarkStart w:id="3" w:name="__RefHeading___Toc4757_3048004937"/>
      <w:bookmarkStart w:id="4" w:name="_Toc239750645"/>
      <w:bookmarkEnd w:id="3"/>
      <w:r>
        <w:rPr>
          <w:b/>
          <w:bCs/>
          <w:lang w:val="fr-CA"/>
        </w:rPr>
        <w:lastRenderedPageBreak/>
        <w:t>2.  Approche générale</w:t>
      </w:r>
      <w:bookmarkEnd w:id="4"/>
    </w:p>
    <w:p w14:paraId="57457E6F" w14:textId="77777777" w:rsidR="006774F4" w:rsidRPr="006774F4" w:rsidRDefault="006774F4" w:rsidP="006774F4">
      <w:pPr>
        <w:rPr>
          <w:lang w:val="fr-FR"/>
        </w:rPr>
      </w:pPr>
      <w:r>
        <w:rPr>
          <w:lang w:val="fr-CA"/>
        </w:rPr>
        <w:t xml:space="preserve">Tout ce qui figure dans ce livre provient du Clarity </w:t>
      </w:r>
      <w:proofErr w:type="spellStart"/>
      <w:r>
        <w:rPr>
          <w:lang w:val="fr-CA"/>
        </w:rPr>
        <w:t>Builders</w:t>
      </w:r>
      <w:proofErr w:type="spellEnd"/>
      <w:r>
        <w:rPr>
          <w:lang w:val="fr-CA"/>
        </w:rPr>
        <w:t xml:space="preserve"> Public </w:t>
      </w:r>
      <w:proofErr w:type="spellStart"/>
      <w:r>
        <w:rPr>
          <w:lang w:val="fr-CA"/>
        </w:rPr>
        <w:t>Inquiries</w:t>
      </w:r>
      <w:proofErr w:type="spellEnd"/>
      <w:r>
        <w:rPr>
          <w:lang w:val="fr-CA"/>
        </w:rPr>
        <w:t xml:space="preserve"> and Audits </w:t>
      </w:r>
      <w:proofErr w:type="spellStart"/>
      <w:r>
        <w:rPr>
          <w:lang w:val="fr-CA"/>
        </w:rPr>
        <w:t>Register</w:t>
      </w:r>
      <w:proofErr w:type="spellEnd"/>
      <w:r>
        <w:rPr>
          <w:lang w:val="fr-CA"/>
        </w:rPr>
        <w:t>. Ce registre codifié regroupe 130 rapports de surveillance du secteur public, soit 110 rapports canadiens et 20 rapports internationaux, compilés entre juin et août 2026. Chaque entrée consigne l’organisme émetteur, le type de rapport, son titre et son année de publication, le projet, la catégorie d’actifs, la valeur du projet lorsqu’elle est indiquée, les résultats en matière de coûts et d’échéancier selon les termes mêmes du rapport, les constats sous forme de citations ainsi qu’un ensemble de codes de cause.</w:t>
      </w:r>
    </w:p>
    <w:p w14:paraId="201059C5" w14:textId="77777777" w:rsidR="006774F4" w:rsidRDefault="006774F4" w:rsidP="006774F4">
      <w:pPr>
        <w:pStyle w:val="Heading2"/>
      </w:pPr>
      <w:bookmarkStart w:id="5" w:name="__RefHeading___Toc4759_3048004937"/>
      <w:bookmarkStart w:id="6" w:name="_Toc239750646"/>
      <w:bookmarkEnd w:id="5"/>
      <w:r>
        <w:rPr>
          <w:lang w:val="fr-CA"/>
        </w:rPr>
        <w:t>Processus de sélection du registre</w:t>
      </w:r>
      <w:bookmarkEnd w:id="6"/>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898"/>
        <w:gridCol w:w="7342"/>
      </w:tblGrid>
      <w:tr w:rsidR="006774F4" w14:paraId="39B4064B" w14:textId="77777777" w:rsidTr="00AA5586">
        <w:trPr>
          <w:cantSplit/>
          <w:tblHeader/>
        </w:trPr>
        <w:tc>
          <w:tcPr>
            <w:tcW w:w="2898" w:type="dxa"/>
            <w:tcBorders>
              <w:bottom w:val="single" w:sz="4" w:space="0" w:color="000000"/>
            </w:tcBorders>
            <w:shd w:val="clear" w:color="auto" w:fill="1B3A6B"/>
          </w:tcPr>
          <w:p w14:paraId="2E508E32" w14:textId="77777777" w:rsidR="006774F4" w:rsidRDefault="006774F4" w:rsidP="00AA5586">
            <w:pPr>
              <w:spacing w:after="0" w:line="254" w:lineRule="auto"/>
              <w:jc w:val="center"/>
            </w:pPr>
            <w:r>
              <w:rPr>
                <w:b/>
                <w:bCs/>
                <w:caps/>
                <w:color w:val="FFFFFF"/>
                <w:spacing w:val="16"/>
                <w:sz w:val="19"/>
                <w:szCs w:val="19"/>
                <w:lang w:val="fr-CA"/>
              </w:rPr>
              <w:t>Étape</w:t>
            </w:r>
          </w:p>
        </w:tc>
        <w:tc>
          <w:tcPr>
            <w:tcW w:w="7341" w:type="dxa"/>
            <w:tcBorders>
              <w:bottom w:val="single" w:sz="4" w:space="0" w:color="000000"/>
            </w:tcBorders>
            <w:shd w:val="clear" w:color="auto" w:fill="1B3A6B"/>
          </w:tcPr>
          <w:p w14:paraId="636BCD68" w14:textId="77777777" w:rsidR="006774F4" w:rsidRDefault="006774F4" w:rsidP="00AA5586">
            <w:pPr>
              <w:spacing w:after="0" w:line="254" w:lineRule="auto"/>
              <w:jc w:val="center"/>
            </w:pPr>
            <w:r>
              <w:rPr>
                <w:b/>
                <w:bCs/>
                <w:caps/>
                <w:color w:val="FFFFFF"/>
                <w:spacing w:val="16"/>
                <w:sz w:val="19"/>
                <w:szCs w:val="19"/>
                <w:lang w:val="fr-CA"/>
              </w:rPr>
              <w:t>Exigences</w:t>
            </w:r>
          </w:p>
        </w:tc>
      </w:tr>
      <w:tr w:rsidR="006774F4" w:rsidRPr="006774F4" w14:paraId="4D860F00"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623A38" w14:textId="77777777" w:rsidR="006774F4" w:rsidRDefault="006774F4" w:rsidP="00AA5586">
            <w:pPr>
              <w:spacing w:after="0" w:line="254" w:lineRule="auto"/>
              <w:jc w:val="center"/>
            </w:pPr>
            <w:r>
              <w:rPr>
                <w:b/>
                <w:bCs/>
                <w:sz w:val="19"/>
                <w:szCs w:val="19"/>
                <w:lang w:val="fr-CA"/>
              </w:rPr>
              <w:t>Source</w:t>
            </w:r>
          </w:p>
        </w:tc>
        <w:tc>
          <w:tcPr>
            <w:tcW w:w="7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60616B" w14:textId="77777777" w:rsidR="006774F4" w:rsidRPr="006774F4" w:rsidRDefault="006774F4" w:rsidP="00AA5586">
            <w:pPr>
              <w:spacing w:after="0" w:line="254" w:lineRule="auto"/>
              <w:rPr>
                <w:lang w:val="fr-FR"/>
              </w:rPr>
            </w:pPr>
            <w:r>
              <w:rPr>
                <w:sz w:val="19"/>
                <w:szCs w:val="19"/>
                <w:lang w:val="fr-CA"/>
              </w:rPr>
              <w:t>Un rapport publié par un vérificateur législatif, un vérificateur général, une commission d’enquête publique, un comité parlementaire ou législatif, ou dans le cadre d’un examen indépendant commandé par un gouvernement. Aucun article de presse spécialisée, document de fournisseur ou estimation de consultant.</w:t>
            </w:r>
          </w:p>
        </w:tc>
      </w:tr>
      <w:tr w:rsidR="006774F4" w:rsidRPr="006774F4" w14:paraId="6E1A2CEF"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FA57A1" w14:textId="77777777" w:rsidR="006774F4" w:rsidRDefault="006774F4" w:rsidP="00AA5586">
            <w:pPr>
              <w:spacing w:after="0" w:line="254" w:lineRule="auto"/>
              <w:jc w:val="center"/>
            </w:pPr>
            <w:r>
              <w:rPr>
                <w:b/>
                <w:bCs/>
                <w:sz w:val="19"/>
                <w:szCs w:val="19"/>
                <w:lang w:val="fr-CA"/>
              </w:rPr>
              <w:t>Vérification</w:t>
            </w:r>
          </w:p>
        </w:tc>
        <w:tc>
          <w:tcPr>
            <w:tcW w:w="7341"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1009327" w14:textId="77777777" w:rsidR="006774F4" w:rsidRPr="006774F4" w:rsidRDefault="006774F4" w:rsidP="00AA5586">
            <w:pPr>
              <w:spacing w:after="0" w:line="254" w:lineRule="auto"/>
              <w:rPr>
                <w:lang w:val="fr-FR"/>
              </w:rPr>
            </w:pPr>
            <w:r>
              <w:rPr>
                <w:sz w:val="19"/>
                <w:szCs w:val="19"/>
                <w:lang w:val="fr-CA"/>
              </w:rPr>
              <w:t xml:space="preserve">La cote de confiance A </w:t>
            </w:r>
            <w:proofErr w:type="spellStart"/>
            <w:r>
              <w:rPr>
                <w:sz w:val="19"/>
                <w:szCs w:val="19"/>
                <w:lang w:val="fr-CA"/>
              </w:rPr>
              <w:t>signifie</w:t>
            </w:r>
            <w:proofErr w:type="spellEnd"/>
            <w:r>
              <w:rPr>
                <w:sz w:val="19"/>
                <w:szCs w:val="19"/>
                <w:lang w:val="fr-CA"/>
              </w:rPr>
              <w:t xml:space="preserve"> que le rapport principal a été examiné et qu’au moins deux constats ont été confirmés à partir des termes mêmes du rapport, avec consignation des références de page ou de paragraphe. Parmi les 110 entrées canadiennes de notre registre, 102 ont une cote de confiance A.</w:t>
            </w:r>
          </w:p>
        </w:tc>
      </w:tr>
      <w:tr w:rsidR="006774F4" w:rsidRPr="006774F4" w14:paraId="022A9EA7"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3AD0FF" w14:textId="77777777" w:rsidR="006774F4" w:rsidRDefault="006774F4" w:rsidP="00AA5586">
            <w:pPr>
              <w:spacing w:after="0" w:line="254" w:lineRule="auto"/>
              <w:jc w:val="center"/>
            </w:pPr>
            <w:r>
              <w:rPr>
                <w:b/>
                <w:bCs/>
                <w:sz w:val="19"/>
                <w:szCs w:val="19"/>
                <w:lang w:val="fr-CA"/>
              </w:rPr>
              <w:t>Codage</w:t>
            </w:r>
          </w:p>
        </w:tc>
        <w:tc>
          <w:tcPr>
            <w:tcW w:w="7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70B05C" w14:textId="77777777" w:rsidR="006774F4" w:rsidRPr="006774F4" w:rsidRDefault="006774F4" w:rsidP="00AA5586">
            <w:pPr>
              <w:spacing w:after="0" w:line="254" w:lineRule="auto"/>
              <w:rPr>
                <w:lang w:val="fr-FR"/>
              </w:rPr>
            </w:pPr>
            <w:r>
              <w:rPr>
                <w:sz w:val="19"/>
                <w:szCs w:val="19"/>
                <w:lang w:val="fr-CA"/>
              </w:rPr>
              <w:t xml:space="preserve">Quinze codes de cause sont appliqués à chaque rapport. Un même rapport peut recevoir plusieurs codes, mais seulement lorsque le rapport lui-même établit le constat correspondant, et non à partir d’une interprétation de Clarity </w:t>
            </w:r>
            <w:proofErr w:type="spellStart"/>
            <w:r>
              <w:rPr>
                <w:sz w:val="19"/>
                <w:szCs w:val="19"/>
                <w:lang w:val="fr-CA"/>
              </w:rPr>
              <w:t>Builders</w:t>
            </w:r>
            <w:proofErr w:type="spellEnd"/>
            <w:r>
              <w:rPr>
                <w:sz w:val="19"/>
                <w:szCs w:val="19"/>
                <w:lang w:val="fr-CA"/>
              </w:rPr>
              <w:t>.</w:t>
            </w:r>
          </w:p>
        </w:tc>
      </w:tr>
      <w:tr w:rsidR="006774F4" w:rsidRPr="006774F4" w14:paraId="1D9729BC"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152F5B" w14:textId="77777777" w:rsidR="006774F4" w:rsidRDefault="006774F4" w:rsidP="00AA5586">
            <w:pPr>
              <w:spacing w:after="0" w:line="254" w:lineRule="auto"/>
              <w:jc w:val="center"/>
            </w:pPr>
            <w:r>
              <w:rPr>
                <w:b/>
                <w:bCs/>
                <w:sz w:val="19"/>
                <w:szCs w:val="19"/>
                <w:lang w:val="fr-CA"/>
              </w:rPr>
              <w:t>Deuxième codeur</w:t>
            </w:r>
          </w:p>
        </w:tc>
        <w:tc>
          <w:tcPr>
            <w:tcW w:w="7341"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FC682DD" w14:textId="77777777" w:rsidR="006774F4" w:rsidRPr="006774F4" w:rsidRDefault="006774F4" w:rsidP="00AA5586">
            <w:pPr>
              <w:spacing w:after="0" w:line="254" w:lineRule="auto"/>
              <w:rPr>
                <w:lang w:val="fr-FR"/>
              </w:rPr>
            </w:pPr>
            <w:r>
              <w:rPr>
                <w:sz w:val="19"/>
                <w:szCs w:val="19"/>
                <w:lang w:val="fr-CA"/>
              </w:rPr>
              <w:t>Un échantillon a fait l’objet d’un double codage indépendant. Le coefficient de concordance kappa était de 0,92, ce qui est très élevé pour ce type de codage qualitatif.</w:t>
            </w:r>
          </w:p>
        </w:tc>
      </w:tr>
      <w:tr w:rsidR="006774F4" w14:paraId="68471F83"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28D5C8" w14:textId="77777777" w:rsidR="006774F4" w:rsidRDefault="006774F4" w:rsidP="00AA5586">
            <w:pPr>
              <w:spacing w:after="0" w:line="254" w:lineRule="auto"/>
              <w:jc w:val="center"/>
            </w:pPr>
            <w:r>
              <w:rPr>
                <w:b/>
                <w:bCs/>
                <w:sz w:val="19"/>
                <w:szCs w:val="19"/>
                <w:lang w:val="fr-CA"/>
              </w:rPr>
              <w:t>Exclusions</w:t>
            </w:r>
          </w:p>
        </w:tc>
        <w:tc>
          <w:tcPr>
            <w:tcW w:w="734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9E343E" w14:textId="77777777" w:rsidR="006774F4" w:rsidRDefault="006774F4" w:rsidP="00AA5586">
            <w:pPr>
              <w:spacing w:after="0" w:line="254" w:lineRule="auto"/>
            </w:pPr>
            <w:r>
              <w:rPr>
                <w:sz w:val="19"/>
                <w:szCs w:val="19"/>
                <w:lang w:val="fr-CA"/>
              </w:rPr>
              <w:t>Les entrées vérifiées uniquement à partir d’une page sommaire de l’organisme émetteur sont identifiées comme telles et exclues de la sélection pour ce livre. Cette mention figure également dans notre registre complet.</w:t>
            </w:r>
          </w:p>
        </w:tc>
      </w:tr>
    </w:tbl>
    <w:p w14:paraId="0B90E180" w14:textId="77777777" w:rsidR="006774F4" w:rsidRDefault="006774F4" w:rsidP="006774F4"/>
    <w:p w14:paraId="5027971C" w14:textId="77777777" w:rsidR="006774F4" w:rsidRDefault="006774F4" w:rsidP="006774F4">
      <w:pPr>
        <w:pStyle w:val="Heading2"/>
      </w:pPr>
      <w:bookmarkStart w:id="7" w:name="__RefHeading___Toc4761_3048004937"/>
      <w:bookmarkStart w:id="8" w:name="_Toc239750647"/>
      <w:bookmarkEnd w:id="7"/>
      <w:r>
        <w:rPr>
          <w:lang w:val="fr-CA"/>
        </w:rPr>
        <w:t>Inclusion de projets internationaux</w:t>
      </w:r>
      <w:bookmarkEnd w:id="8"/>
    </w:p>
    <w:p w14:paraId="19DCDC13" w14:textId="77777777" w:rsidR="006774F4" w:rsidRPr="006774F4" w:rsidRDefault="006774F4" w:rsidP="006774F4">
      <w:pPr>
        <w:rPr>
          <w:lang w:val="fr-FR"/>
        </w:rPr>
      </w:pPr>
      <w:r>
        <w:rPr>
          <w:lang w:val="fr-CA"/>
        </w:rPr>
        <w:t xml:space="preserve">Parmi les 110 entrées canadiennes, 81,8 % relèvent une défaillance liée à l’information ou à la prise de décision comme cause contributive. L’intervalle de confiance à 95 % se situe entre 73,6 % et 87,9 %. L’application du même codage aux 20 rapports internationaux </w:t>
      </w:r>
      <w:proofErr w:type="gramStart"/>
      <w:r>
        <w:rPr>
          <w:lang w:val="fr-CA"/>
        </w:rPr>
        <w:t>donne</w:t>
      </w:r>
      <w:proofErr w:type="gramEnd"/>
      <w:r>
        <w:rPr>
          <w:lang w:val="fr-CA"/>
        </w:rPr>
        <w:t xml:space="preserve"> un résultat de 85,0 %. L’écart entre les deux taux n’est pas statistiquement significatif (z = 0,34). Le présent document n’a pas pour objet de pointer le Canada du doigt; l’inclusion de projets internationaux vise plutôt à montrer que, d’après les constats recueillis à ce jour, la façon dont l’information est gérée constitue un défi universel.</w:t>
      </w:r>
    </w:p>
    <w:p w14:paraId="48F382A5" w14:textId="77777777" w:rsidR="006774F4" w:rsidRPr="006774F4" w:rsidRDefault="006774F4" w:rsidP="006774F4">
      <w:pPr>
        <w:pStyle w:val="Heading2"/>
        <w:rPr>
          <w:lang w:val="fr-FR"/>
        </w:rPr>
      </w:pPr>
      <w:bookmarkStart w:id="9" w:name="__RefHeading___Toc4763_3048004937"/>
      <w:bookmarkStart w:id="10" w:name="_Toc239750648"/>
      <w:bookmarkEnd w:id="9"/>
      <w:r>
        <w:rPr>
          <w:lang w:val="fr-CA"/>
        </w:rPr>
        <w:lastRenderedPageBreak/>
        <w:t>Sélection des projets</w:t>
      </w:r>
      <w:bookmarkEnd w:id="10"/>
    </w:p>
    <w:p w14:paraId="40E7C131" w14:textId="77777777" w:rsidR="006774F4" w:rsidRPr="006774F4" w:rsidRDefault="006774F4" w:rsidP="006774F4">
      <w:pPr>
        <w:rPr>
          <w:lang w:val="fr-FR"/>
        </w:rPr>
      </w:pPr>
      <w:r>
        <w:rPr>
          <w:lang w:val="fr-CA"/>
        </w:rPr>
        <w:t xml:space="preserve">Les 15 projets ont été choisis selon un ensemble de règles écrites appliquées aux 102 entrées canadiennes de « confiance A » du registre de Clarity </w:t>
      </w:r>
      <w:proofErr w:type="spellStart"/>
      <w:r>
        <w:rPr>
          <w:lang w:val="fr-CA"/>
        </w:rPr>
        <w:t>Builders</w:t>
      </w:r>
      <w:proofErr w:type="spellEnd"/>
      <w:r>
        <w:rPr>
          <w:lang w:val="fr-CA"/>
        </w:rPr>
        <w: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3399"/>
        <w:gridCol w:w="6841"/>
      </w:tblGrid>
      <w:tr w:rsidR="006774F4" w14:paraId="053BDE72" w14:textId="77777777" w:rsidTr="00AA5586">
        <w:trPr>
          <w:cantSplit/>
          <w:tblHeader/>
        </w:trPr>
        <w:tc>
          <w:tcPr>
            <w:tcW w:w="3399" w:type="dxa"/>
            <w:tcBorders>
              <w:bottom w:val="single" w:sz="4" w:space="0" w:color="000000"/>
            </w:tcBorders>
            <w:shd w:val="clear" w:color="auto" w:fill="1B3A6B"/>
          </w:tcPr>
          <w:p w14:paraId="15EB590F" w14:textId="77777777" w:rsidR="006774F4" w:rsidRDefault="006774F4" w:rsidP="00AA5586">
            <w:pPr>
              <w:spacing w:after="0" w:line="254" w:lineRule="auto"/>
              <w:jc w:val="center"/>
            </w:pPr>
            <w:r>
              <w:rPr>
                <w:b/>
                <w:bCs/>
                <w:caps/>
                <w:color w:val="FFFFFF"/>
                <w:spacing w:val="16"/>
                <w:sz w:val="19"/>
                <w:szCs w:val="19"/>
                <w:lang w:val="fr-CA"/>
              </w:rPr>
              <w:t>Règle</w:t>
            </w:r>
          </w:p>
        </w:tc>
        <w:tc>
          <w:tcPr>
            <w:tcW w:w="6840" w:type="dxa"/>
            <w:tcBorders>
              <w:bottom w:val="single" w:sz="4" w:space="0" w:color="000000"/>
            </w:tcBorders>
            <w:shd w:val="clear" w:color="auto" w:fill="1B3A6B"/>
          </w:tcPr>
          <w:p w14:paraId="00C44947" w14:textId="77777777" w:rsidR="006774F4" w:rsidRDefault="006774F4" w:rsidP="00AA5586">
            <w:pPr>
              <w:spacing w:after="0" w:line="254" w:lineRule="auto"/>
              <w:jc w:val="center"/>
            </w:pPr>
            <w:r>
              <w:rPr>
                <w:b/>
                <w:bCs/>
                <w:caps/>
                <w:color w:val="FFFFFF"/>
                <w:spacing w:val="16"/>
                <w:sz w:val="19"/>
                <w:szCs w:val="19"/>
                <w:lang w:val="fr-CA"/>
              </w:rPr>
              <w:t>Résultat de la sélection</w:t>
            </w:r>
          </w:p>
        </w:tc>
      </w:tr>
      <w:tr w:rsidR="006774F4" w:rsidRPr="006774F4" w14:paraId="5EAB9502" w14:textId="77777777" w:rsidTr="00AA5586">
        <w:trPr>
          <w:cantSplit/>
        </w:trPr>
        <w:tc>
          <w:tcPr>
            <w:tcW w:w="33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D170FD" w14:textId="77777777" w:rsidR="006774F4" w:rsidRPr="006774F4" w:rsidRDefault="006774F4" w:rsidP="00AA5586">
            <w:pPr>
              <w:spacing w:after="0" w:line="254" w:lineRule="auto"/>
              <w:jc w:val="center"/>
              <w:rPr>
                <w:lang w:val="fr-FR"/>
              </w:rPr>
            </w:pPr>
            <w:r>
              <w:rPr>
                <w:b/>
                <w:bCs/>
                <w:sz w:val="19"/>
                <w:szCs w:val="19"/>
                <w:lang w:val="fr-CA"/>
              </w:rPr>
              <w:t>Cote de confiance A uniquement</w:t>
            </w:r>
          </w:p>
        </w:tc>
        <w:tc>
          <w:tcPr>
            <w:tcW w:w="68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E87A60" w14:textId="77777777" w:rsidR="006774F4" w:rsidRPr="006774F4" w:rsidRDefault="006774F4" w:rsidP="00AA5586">
            <w:pPr>
              <w:spacing w:after="0" w:line="254" w:lineRule="auto"/>
              <w:rPr>
                <w:lang w:val="fr-FR"/>
              </w:rPr>
            </w:pPr>
            <w:r>
              <w:rPr>
                <w:sz w:val="19"/>
                <w:szCs w:val="19"/>
                <w:lang w:val="fr-CA"/>
              </w:rPr>
              <w:t>Les 15 cas canadiens et les 5 cas internationaux ont tous une cote de confiance A. Les 8 entrées vérifiées uniquement à partir d’un sommaire sont exclues.</w:t>
            </w:r>
          </w:p>
        </w:tc>
      </w:tr>
      <w:tr w:rsidR="006774F4" w:rsidRPr="006774F4" w14:paraId="00E54E49" w14:textId="77777777" w:rsidTr="00AA5586">
        <w:trPr>
          <w:cantSplit/>
        </w:trPr>
        <w:tc>
          <w:tcPr>
            <w:tcW w:w="33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804949" w14:textId="77777777" w:rsidR="006774F4" w:rsidRPr="006774F4" w:rsidRDefault="006774F4" w:rsidP="00AA5586">
            <w:pPr>
              <w:spacing w:after="0" w:line="254" w:lineRule="auto"/>
              <w:jc w:val="center"/>
              <w:rPr>
                <w:lang w:val="fr-FR"/>
              </w:rPr>
            </w:pPr>
            <w:r>
              <w:rPr>
                <w:b/>
                <w:bCs/>
                <w:sz w:val="19"/>
                <w:szCs w:val="19"/>
                <w:lang w:val="fr-CA"/>
              </w:rPr>
              <w:t>2015 ou après, dont au moins la moitié depuis 2020</w:t>
            </w:r>
          </w:p>
        </w:tc>
        <w:tc>
          <w:tcPr>
            <w:tcW w:w="68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887460" w14:textId="77777777" w:rsidR="006774F4" w:rsidRPr="006774F4" w:rsidRDefault="006774F4" w:rsidP="00AA5586">
            <w:pPr>
              <w:spacing w:after="0" w:line="254" w:lineRule="auto"/>
              <w:rPr>
                <w:lang w:val="fr-FR"/>
              </w:rPr>
            </w:pPr>
            <w:r>
              <w:rPr>
                <w:sz w:val="19"/>
                <w:szCs w:val="19"/>
                <w:lang w:val="fr-CA"/>
              </w:rPr>
              <w:t>Les 15 cas canadiens datent tous de 2020 ou après. Cinq datent de 2025 ou 2026. Le critère est largement dépassé.</w:t>
            </w:r>
          </w:p>
        </w:tc>
      </w:tr>
      <w:tr w:rsidR="006774F4" w:rsidRPr="006774F4" w14:paraId="2DB710E9" w14:textId="77777777" w:rsidTr="00AA5586">
        <w:trPr>
          <w:cantSplit/>
        </w:trPr>
        <w:tc>
          <w:tcPr>
            <w:tcW w:w="33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F8FDF7" w14:textId="77777777" w:rsidR="006774F4" w:rsidRPr="006774F4" w:rsidRDefault="006774F4" w:rsidP="00AA5586">
            <w:pPr>
              <w:spacing w:after="0" w:line="254" w:lineRule="auto"/>
              <w:jc w:val="center"/>
              <w:rPr>
                <w:lang w:val="fr-FR"/>
              </w:rPr>
            </w:pPr>
            <w:r>
              <w:rPr>
                <w:b/>
                <w:bCs/>
                <w:sz w:val="19"/>
                <w:szCs w:val="19"/>
                <w:lang w:val="fr-CA"/>
              </w:rPr>
              <w:t>Répartition à l’échelle du pays</w:t>
            </w:r>
          </w:p>
        </w:tc>
        <w:tc>
          <w:tcPr>
            <w:tcW w:w="68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33D675" w14:textId="77777777" w:rsidR="006774F4" w:rsidRPr="006774F4" w:rsidRDefault="006774F4" w:rsidP="00AA5586">
            <w:pPr>
              <w:spacing w:after="0" w:line="254" w:lineRule="auto"/>
              <w:rPr>
                <w:lang w:val="fr-FR"/>
              </w:rPr>
            </w:pPr>
            <w:r>
              <w:rPr>
                <w:sz w:val="19"/>
                <w:szCs w:val="19"/>
                <w:lang w:val="fr-CA"/>
              </w:rPr>
              <w:t>13 administrations : Canada, Ontario, Toronto à deux reprises, Ottawa, Québec, Nouvelle-Écosse, Terre-Neuve-et-Labrador, Manitoba, Saskatchewan, Alberta, Colombie-Britannique, Territoires du Nord-Ouest et Nunavut.</w:t>
            </w:r>
          </w:p>
        </w:tc>
      </w:tr>
      <w:tr w:rsidR="006774F4" w:rsidRPr="006774F4" w14:paraId="6D25138C" w14:textId="77777777" w:rsidTr="00AA5586">
        <w:trPr>
          <w:cantSplit/>
        </w:trPr>
        <w:tc>
          <w:tcPr>
            <w:tcW w:w="33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3107C48" w14:textId="77777777" w:rsidR="006774F4" w:rsidRDefault="006774F4" w:rsidP="00AA5586">
            <w:pPr>
              <w:spacing w:after="0" w:line="254" w:lineRule="auto"/>
              <w:jc w:val="center"/>
            </w:pPr>
            <w:r>
              <w:rPr>
                <w:b/>
                <w:bCs/>
                <w:sz w:val="19"/>
                <w:szCs w:val="19"/>
                <w:lang w:val="fr-CA"/>
              </w:rPr>
              <w:t>Diversité des catégories d’actifs</w:t>
            </w:r>
          </w:p>
        </w:tc>
        <w:tc>
          <w:tcPr>
            <w:tcW w:w="68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A7CB47F" w14:textId="77777777" w:rsidR="006774F4" w:rsidRPr="006774F4" w:rsidRDefault="006774F4" w:rsidP="00AA5586">
            <w:pPr>
              <w:spacing w:after="0" w:line="254" w:lineRule="auto"/>
              <w:rPr>
                <w:lang w:val="fr-FR"/>
              </w:rPr>
            </w:pPr>
            <w:r>
              <w:rPr>
                <w:sz w:val="19"/>
                <w:szCs w:val="19"/>
                <w:lang w:val="fr-CA"/>
              </w:rPr>
              <w:t>Transport collectif : 1; énergie : 3; logement : 2; santé : 2; biens immobiliers gouvernementaux : 2; eau : 1; écoles : 1; ponts : 1; défense : 1; auxquels s’ajoutent d’autres cas de transport collectif parmi les comparateurs.</w:t>
            </w:r>
          </w:p>
        </w:tc>
      </w:tr>
      <w:tr w:rsidR="006774F4" w:rsidRPr="006774F4" w14:paraId="5004F0E4" w14:textId="77777777" w:rsidTr="00AA5586">
        <w:trPr>
          <w:cantSplit/>
        </w:trPr>
        <w:tc>
          <w:tcPr>
            <w:tcW w:w="33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6BD087" w14:textId="77777777" w:rsidR="006774F4" w:rsidRPr="006774F4" w:rsidRDefault="006774F4" w:rsidP="00AA5586">
            <w:pPr>
              <w:spacing w:after="0" w:line="254" w:lineRule="auto"/>
              <w:jc w:val="center"/>
              <w:rPr>
                <w:lang w:val="fr-FR"/>
              </w:rPr>
            </w:pPr>
            <w:r>
              <w:rPr>
                <w:b/>
                <w:bCs/>
                <w:sz w:val="19"/>
                <w:szCs w:val="19"/>
                <w:lang w:val="fr-CA"/>
              </w:rPr>
              <w:t>Au moins 2 cas par dimension du Clarity Compass</w:t>
            </w:r>
          </w:p>
        </w:tc>
        <w:tc>
          <w:tcPr>
            <w:tcW w:w="68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BAFD2" w14:textId="77777777" w:rsidR="006774F4" w:rsidRPr="006774F4" w:rsidRDefault="006774F4" w:rsidP="00AA5586">
            <w:pPr>
              <w:spacing w:after="0" w:line="254" w:lineRule="auto"/>
              <w:rPr>
                <w:lang w:val="fr-FR"/>
              </w:rPr>
            </w:pPr>
            <w:proofErr w:type="gramStart"/>
            <w:r w:rsidRPr="006774F4">
              <w:rPr>
                <w:sz w:val="19"/>
                <w:szCs w:val="19"/>
                <w:lang w:val="en-US"/>
              </w:rPr>
              <w:t>Governance :</w:t>
            </w:r>
            <w:proofErr w:type="gramEnd"/>
            <w:r w:rsidRPr="006774F4">
              <w:rPr>
                <w:sz w:val="19"/>
                <w:szCs w:val="19"/>
                <w:lang w:val="en-US"/>
              </w:rPr>
              <w:t xml:space="preserve"> 14; </w:t>
            </w:r>
            <w:proofErr w:type="gramStart"/>
            <w:r w:rsidRPr="006774F4">
              <w:rPr>
                <w:sz w:val="19"/>
                <w:szCs w:val="19"/>
                <w:lang w:val="en-US"/>
              </w:rPr>
              <w:t>Process :</w:t>
            </w:r>
            <w:proofErr w:type="gramEnd"/>
            <w:r w:rsidRPr="006774F4">
              <w:rPr>
                <w:sz w:val="19"/>
                <w:szCs w:val="19"/>
                <w:lang w:val="en-US"/>
              </w:rPr>
              <w:t xml:space="preserve"> 8; </w:t>
            </w:r>
            <w:proofErr w:type="gramStart"/>
            <w:r w:rsidRPr="006774F4">
              <w:rPr>
                <w:sz w:val="19"/>
                <w:szCs w:val="19"/>
                <w:lang w:val="en-US"/>
              </w:rPr>
              <w:t>Technology :</w:t>
            </w:r>
            <w:proofErr w:type="gramEnd"/>
            <w:r w:rsidRPr="006774F4">
              <w:rPr>
                <w:sz w:val="19"/>
                <w:szCs w:val="19"/>
                <w:lang w:val="en-US"/>
              </w:rPr>
              <w:t xml:space="preserve"> 6; </w:t>
            </w:r>
            <w:proofErr w:type="gramStart"/>
            <w:r w:rsidRPr="006774F4">
              <w:rPr>
                <w:sz w:val="19"/>
                <w:szCs w:val="19"/>
                <w:lang w:val="en-US"/>
              </w:rPr>
              <w:t>Contracts :</w:t>
            </w:r>
            <w:proofErr w:type="gramEnd"/>
            <w:r w:rsidRPr="006774F4">
              <w:rPr>
                <w:sz w:val="19"/>
                <w:szCs w:val="19"/>
                <w:lang w:val="en-US"/>
              </w:rPr>
              <w:t xml:space="preserve"> 4; </w:t>
            </w:r>
            <w:proofErr w:type="gramStart"/>
            <w:r w:rsidRPr="006774F4">
              <w:rPr>
                <w:sz w:val="19"/>
                <w:szCs w:val="19"/>
                <w:lang w:val="en-US"/>
              </w:rPr>
              <w:t>People :</w:t>
            </w:r>
            <w:proofErr w:type="gramEnd"/>
            <w:r w:rsidRPr="006774F4">
              <w:rPr>
                <w:sz w:val="19"/>
                <w:szCs w:val="19"/>
                <w:lang w:val="en-US"/>
              </w:rPr>
              <w:t xml:space="preserve"> 2. </w:t>
            </w:r>
            <w:r>
              <w:rPr>
                <w:sz w:val="19"/>
                <w:szCs w:val="19"/>
                <w:lang w:val="fr-CA"/>
              </w:rPr>
              <w:t>Le faible nombre de cas dans la dimension People reflète une limite des éléments probants et est abordé à la section 8.</w:t>
            </w:r>
          </w:p>
        </w:tc>
      </w:tr>
    </w:tbl>
    <w:p w14:paraId="689A405B" w14:textId="77777777" w:rsidR="006774F4" w:rsidRPr="006774F4" w:rsidRDefault="006774F4" w:rsidP="006774F4">
      <w:pPr>
        <w:rPr>
          <w:lang w:val="fr-FR"/>
        </w:rPr>
      </w:pPr>
    </w:p>
    <w:p w14:paraId="00A3C19F" w14:textId="77777777" w:rsidR="006774F4" w:rsidRPr="006774F4" w:rsidRDefault="006774F4" w:rsidP="006774F4">
      <w:pPr>
        <w:rPr>
          <w:lang w:val="fr-FR"/>
        </w:rPr>
      </w:pPr>
      <w:r>
        <w:rPr>
          <w:lang w:val="fr-CA"/>
        </w:rPr>
        <w:t>Les 15 cas ont été sélectionnés afin d’assurer une diversité d’administrations, de périodes, de catégories d’actifs et de dimensions. La répartition des causes qui en ressort est présentée ci-dessous et ressemble étroitement à celle observée dans l’ensemble des 110 entrées.</w:t>
      </w:r>
    </w:p>
    <w:p w14:paraId="2547AD15" w14:textId="77777777" w:rsidR="006774F4" w:rsidRPr="006774F4" w:rsidRDefault="006774F4" w:rsidP="006774F4">
      <w:pPr>
        <w:rPr>
          <w:lang w:val="fr-FR"/>
        </w:rPr>
      </w:pPr>
      <w:r>
        <w:rPr>
          <w:lang w:val="fr-CA"/>
        </w:rPr>
        <w:t>Les 4 causes les plus fréquentes dans notre registre relèvent toutes de la gouvernance; aucune n’est un problème technologique. L’information transmise aux décideurs, les pouvoirs décisionnels, la trace des décisions et le financement du cycle de vie sont les facteurs dominants. Leur point commun suggère une réponse plus globale : mieux définir le partage de l’information et les responsabilités.</w:t>
      </w:r>
    </w:p>
    <w:p w14:paraId="49C7BA93" w14:textId="77777777" w:rsidR="006774F4" w:rsidRPr="006774F4" w:rsidRDefault="006774F4" w:rsidP="006774F4">
      <w:pPr>
        <w:pStyle w:val="Heading2"/>
        <w:rPr>
          <w:lang w:val="fr-FR"/>
        </w:rPr>
      </w:pPr>
      <w:bookmarkStart w:id="11" w:name="__RefHeading___Toc4765_3048004937"/>
      <w:bookmarkStart w:id="12" w:name="_Toc239750649"/>
      <w:bookmarkEnd w:id="11"/>
      <w:r>
        <w:rPr>
          <w:lang w:val="fr-CA"/>
        </w:rPr>
        <w:t>Codage des projets</w:t>
      </w:r>
      <w:bookmarkEnd w:id="12"/>
    </w:p>
    <w:p w14:paraId="0E4D645F" w14:textId="77777777" w:rsidR="006774F4" w:rsidRPr="006774F4" w:rsidRDefault="006774F4" w:rsidP="006774F4">
      <w:pPr>
        <w:rPr>
          <w:lang w:val="fr-FR"/>
        </w:rPr>
      </w:pPr>
      <w:r>
        <w:rPr>
          <w:lang w:val="fr-CA"/>
        </w:rPr>
        <w:t xml:space="preserve">Le tableau ci-dessous présente les critères de codage appliqués à chaque projet de ce livre blanc, comme à l’ensemble des projets de notre registre. Le système comprend 15 codes, chacun accompagné d’une brève description. Nous indiquons également la proportion de projets du registre pour lesquels le rapport ou l’audit a relevé le problème en question, ainsi que la dimension parmi les cinq dimensions de Clarity </w:t>
      </w:r>
      <w:proofErr w:type="spellStart"/>
      <w:r>
        <w:rPr>
          <w:lang w:val="fr-CA"/>
        </w:rPr>
        <w:t>Builders</w:t>
      </w:r>
      <w:proofErr w:type="spellEnd"/>
      <w:r>
        <w:rPr>
          <w:lang w:val="fr-CA"/>
        </w:rPr>
        <w:t xml:space="preserve"> qui contribue à l’améliorer.</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500"/>
        <w:gridCol w:w="2740"/>
      </w:tblGrid>
      <w:tr w:rsidR="006774F4" w14:paraId="6DDAB83B" w14:textId="77777777" w:rsidTr="00AA5586">
        <w:trPr>
          <w:cantSplit/>
          <w:tblHeader/>
        </w:trPr>
        <w:tc>
          <w:tcPr>
            <w:tcW w:w="900" w:type="dxa"/>
            <w:tcBorders>
              <w:bottom w:val="single" w:sz="4" w:space="0" w:color="000000"/>
            </w:tcBorders>
            <w:shd w:val="clear" w:color="auto" w:fill="1B3A6B"/>
            <w:vAlign w:val="center"/>
          </w:tcPr>
          <w:p w14:paraId="4A104CE7" w14:textId="77777777" w:rsidR="006774F4" w:rsidRDefault="006774F4" w:rsidP="00AA5586">
            <w:pPr>
              <w:spacing w:after="0" w:line="254" w:lineRule="auto"/>
              <w:jc w:val="center"/>
            </w:pPr>
            <w:r>
              <w:rPr>
                <w:b/>
                <w:bCs/>
                <w:caps/>
                <w:color w:val="FFFFFF"/>
                <w:spacing w:val="16"/>
                <w:sz w:val="18"/>
                <w:szCs w:val="18"/>
                <w:lang w:val="fr-CA"/>
              </w:rPr>
              <w:lastRenderedPageBreak/>
              <w:t>Code</w:t>
            </w:r>
          </w:p>
        </w:tc>
        <w:tc>
          <w:tcPr>
            <w:tcW w:w="5099" w:type="dxa"/>
            <w:tcBorders>
              <w:bottom w:val="single" w:sz="4" w:space="0" w:color="000000"/>
            </w:tcBorders>
            <w:shd w:val="clear" w:color="auto" w:fill="1B3A6B"/>
            <w:vAlign w:val="center"/>
          </w:tcPr>
          <w:p w14:paraId="6E632331" w14:textId="77777777" w:rsidR="006774F4" w:rsidRDefault="006774F4" w:rsidP="00AA5586">
            <w:pPr>
              <w:spacing w:after="0" w:line="254" w:lineRule="auto"/>
              <w:jc w:val="center"/>
            </w:pPr>
            <w:r>
              <w:rPr>
                <w:b/>
                <w:bCs/>
                <w:caps/>
                <w:color w:val="FFFFFF"/>
                <w:spacing w:val="16"/>
                <w:sz w:val="18"/>
                <w:szCs w:val="18"/>
                <w:lang w:val="fr-CA"/>
              </w:rPr>
              <w:t>Cause (selon les rapports)</w:t>
            </w:r>
          </w:p>
        </w:tc>
        <w:tc>
          <w:tcPr>
            <w:tcW w:w="1500" w:type="dxa"/>
            <w:tcBorders>
              <w:bottom w:val="single" w:sz="4" w:space="0" w:color="000000"/>
            </w:tcBorders>
            <w:shd w:val="clear" w:color="auto" w:fill="1B3A6B"/>
            <w:vAlign w:val="center"/>
          </w:tcPr>
          <w:p w14:paraId="6C49F081"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740" w:type="dxa"/>
            <w:tcBorders>
              <w:bottom w:val="single" w:sz="4" w:space="0" w:color="000000"/>
            </w:tcBorders>
            <w:shd w:val="clear" w:color="auto" w:fill="1B3A6B"/>
            <w:vAlign w:val="center"/>
          </w:tcPr>
          <w:p w14:paraId="6B9C7FAB"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2AD2A028"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AAC09" w14:textId="77777777" w:rsidR="006774F4" w:rsidRDefault="006774F4" w:rsidP="00AA5586">
            <w:pPr>
              <w:spacing w:after="0" w:line="254" w:lineRule="auto"/>
              <w:jc w:val="center"/>
            </w:pPr>
            <w:r>
              <w:rPr>
                <w:b/>
                <w:bCs/>
                <w:sz w:val="18"/>
                <w:szCs w:val="18"/>
              </w:rPr>
              <w:t>C01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6D82C"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FD00C" w14:textId="77777777" w:rsidR="006774F4" w:rsidRDefault="006774F4" w:rsidP="00AA5586">
            <w:pPr>
              <w:spacing w:after="0" w:line="254" w:lineRule="auto"/>
              <w:jc w:val="center"/>
            </w:pPr>
            <w:r>
              <w:rPr>
                <w:b/>
                <w:bCs/>
                <w:color w:val="B85C30"/>
                <w:sz w:val="18"/>
                <w:szCs w:val="18"/>
                <w:lang w:val="fr-CA"/>
              </w:rPr>
              <w:t>29,1 %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D41D0" w14:textId="77777777" w:rsidR="006774F4" w:rsidRDefault="006774F4" w:rsidP="00AA5586">
            <w:pPr>
              <w:spacing w:after="0" w:line="254" w:lineRule="auto"/>
              <w:jc w:val="center"/>
            </w:pPr>
            <w:r>
              <w:rPr>
                <w:sz w:val="18"/>
                <w:szCs w:val="18"/>
              </w:rPr>
              <w:t>Process</w:t>
            </w:r>
          </w:p>
        </w:tc>
      </w:tr>
      <w:tr w:rsidR="006774F4" w14:paraId="2CEC850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D56DEF8" w14:textId="77777777" w:rsidR="006774F4" w:rsidRDefault="006774F4" w:rsidP="00AA5586">
            <w:pPr>
              <w:spacing w:after="0" w:line="254" w:lineRule="auto"/>
              <w:jc w:val="center"/>
            </w:pPr>
            <w:r>
              <w:rPr>
                <w:b/>
                <w:bCs/>
                <w:sz w:val="18"/>
                <w:szCs w:val="18"/>
              </w:rPr>
              <w:t>C02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B4B207"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71E799C" w14:textId="77777777" w:rsidR="006774F4" w:rsidRDefault="006774F4" w:rsidP="00AA5586">
            <w:pPr>
              <w:spacing w:after="0" w:line="254" w:lineRule="auto"/>
              <w:jc w:val="center"/>
            </w:pPr>
            <w:r>
              <w:rPr>
                <w:b/>
                <w:bCs/>
                <w:color w:val="B85C30"/>
                <w:sz w:val="18"/>
                <w:szCs w:val="18"/>
                <w:lang w:val="fr-CA"/>
              </w:rPr>
              <w:t>20,0 %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2BF897" w14:textId="77777777" w:rsidR="006774F4" w:rsidRDefault="006774F4" w:rsidP="00AA5586">
            <w:pPr>
              <w:spacing w:after="0" w:line="254" w:lineRule="auto"/>
              <w:jc w:val="center"/>
            </w:pPr>
            <w:r>
              <w:rPr>
                <w:sz w:val="18"/>
                <w:szCs w:val="18"/>
              </w:rPr>
              <w:t>Process</w:t>
            </w:r>
          </w:p>
        </w:tc>
      </w:tr>
      <w:tr w:rsidR="006774F4" w14:paraId="1E62EAE6"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95FE0" w14:textId="77777777" w:rsidR="006774F4" w:rsidRDefault="006774F4" w:rsidP="00AA5586">
            <w:pPr>
              <w:spacing w:after="0" w:line="254" w:lineRule="auto"/>
              <w:jc w:val="center"/>
            </w:pPr>
            <w:r>
              <w:rPr>
                <w:b/>
                <w:bCs/>
                <w:sz w:val="18"/>
                <w:szCs w:val="18"/>
              </w:rPr>
              <w:t>C03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FDC88" w14:textId="77777777" w:rsidR="006774F4" w:rsidRPr="006774F4" w:rsidRDefault="006774F4" w:rsidP="00AA5586">
            <w:pPr>
              <w:spacing w:after="0" w:line="254" w:lineRule="auto"/>
              <w:rPr>
                <w:lang w:val="fr-FR"/>
              </w:rPr>
            </w:pPr>
            <w:r>
              <w:rPr>
                <w:sz w:val="18"/>
                <w:szCs w:val="18"/>
                <w:lang w:val="fr-CA"/>
              </w:rPr>
              <w:t>Échéancier trop optimiste ou référence de base irréaliste</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DC242C" w14:textId="77777777" w:rsidR="006774F4" w:rsidRDefault="006774F4" w:rsidP="00AA5586">
            <w:pPr>
              <w:spacing w:after="0" w:line="254" w:lineRule="auto"/>
              <w:jc w:val="center"/>
            </w:pPr>
            <w:r>
              <w:rPr>
                <w:b/>
                <w:bCs/>
                <w:color w:val="B85C30"/>
                <w:sz w:val="18"/>
                <w:szCs w:val="18"/>
                <w:lang w:val="fr-CA"/>
              </w:rPr>
              <w:t>9,1 %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492DD" w14:textId="77777777" w:rsidR="006774F4" w:rsidRDefault="006774F4" w:rsidP="00AA5586">
            <w:pPr>
              <w:spacing w:after="0" w:line="254" w:lineRule="auto"/>
              <w:jc w:val="center"/>
            </w:pPr>
            <w:r>
              <w:rPr>
                <w:sz w:val="18"/>
                <w:szCs w:val="18"/>
              </w:rPr>
              <w:t>Process</w:t>
            </w:r>
          </w:p>
        </w:tc>
      </w:tr>
      <w:tr w:rsidR="006774F4" w14:paraId="1A852761"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3DA3F63"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6BE9DE4"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9BC275F" w14:textId="77777777" w:rsidR="006774F4" w:rsidRDefault="006774F4" w:rsidP="00AA5586">
            <w:pPr>
              <w:spacing w:after="0" w:line="254" w:lineRule="auto"/>
              <w:jc w:val="center"/>
            </w:pPr>
            <w:r>
              <w:rPr>
                <w:b/>
                <w:bCs/>
                <w:color w:val="B85C30"/>
                <w:sz w:val="18"/>
                <w:szCs w:val="18"/>
                <w:lang w:val="fr-CA"/>
              </w:rPr>
              <w:t>36,4 %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23F1E96" w14:textId="77777777" w:rsidR="006774F4" w:rsidRDefault="006774F4" w:rsidP="00AA5586">
            <w:pPr>
              <w:spacing w:after="0" w:line="254" w:lineRule="auto"/>
              <w:jc w:val="center"/>
            </w:pPr>
            <w:r>
              <w:rPr>
                <w:sz w:val="18"/>
                <w:szCs w:val="18"/>
              </w:rPr>
              <w:t>Governance</w:t>
            </w:r>
          </w:p>
        </w:tc>
      </w:tr>
      <w:tr w:rsidR="006774F4" w14:paraId="70F70E9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46146"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47446"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D83F6" w14:textId="77777777" w:rsidR="006774F4" w:rsidRDefault="006774F4" w:rsidP="00AA5586">
            <w:pPr>
              <w:spacing w:after="0" w:line="254" w:lineRule="auto"/>
              <w:jc w:val="center"/>
            </w:pPr>
            <w:r>
              <w:rPr>
                <w:b/>
                <w:bCs/>
                <w:color w:val="B85C30"/>
                <w:sz w:val="18"/>
                <w:szCs w:val="18"/>
                <w:lang w:val="fr-CA"/>
              </w:rPr>
              <w:t>38,2 %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C5433" w14:textId="77777777" w:rsidR="006774F4" w:rsidRDefault="006774F4" w:rsidP="00AA5586">
            <w:pPr>
              <w:spacing w:after="0" w:line="254" w:lineRule="auto"/>
              <w:jc w:val="center"/>
            </w:pPr>
            <w:r>
              <w:rPr>
                <w:sz w:val="18"/>
                <w:szCs w:val="18"/>
              </w:rPr>
              <w:t>Governance</w:t>
            </w:r>
          </w:p>
        </w:tc>
      </w:tr>
      <w:tr w:rsidR="006774F4" w14:paraId="6E13180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0F72CBD"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57C3AEF"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9EDA85B" w14:textId="77777777" w:rsidR="006774F4" w:rsidRDefault="006774F4" w:rsidP="00AA5586">
            <w:pPr>
              <w:spacing w:after="0" w:line="254" w:lineRule="auto"/>
              <w:jc w:val="center"/>
            </w:pPr>
            <w:r>
              <w:rPr>
                <w:b/>
                <w:bCs/>
                <w:color w:val="B85C30"/>
                <w:sz w:val="18"/>
                <w:szCs w:val="18"/>
                <w:lang w:val="fr-CA"/>
              </w:rPr>
              <w:t>34,5 %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609A7A" w14:textId="77777777" w:rsidR="006774F4" w:rsidRDefault="006774F4" w:rsidP="00AA5586">
            <w:pPr>
              <w:spacing w:after="0" w:line="254" w:lineRule="auto"/>
              <w:jc w:val="center"/>
            </w:pPr>
            <w:r>
              <w:rPr>
                <w:sz w:val="18"/>
                <w:szCs w:val="18"/>
              </w:rPr>
              <w:t>Governance</w:t>
            </w:r>
          </w:p>
        </w:tc>
      </w:tr>
      <w:tr w:rsidR="006774F4" w14:paraId="0E565C6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EB3D7"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62888"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DB2C4" w14:textId="77777777" w:rsidR="006774F4" w:rsidRDefault="006774F4" w:rsidP="00AA5586">
            <w:pPr>
              <w:spacing w:after="0" w:line="254" w:lineRule="auto"/>
              <w:jc w:val="center"/>
            </w:pPr>
            <w:r>
              <w:rPr>
                <w:b/>
                <w:bCs/>
                <w:color w:val="B85C30"/>
                <w:sz w:val="18"/>
                <w:szCs w:val="18"/>
                <w:lang w:val="fr-CA"/>
              </w:rPr>
              <w:t>29,1 %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FB602" w14:textId="77777777" w:rsidR="006774F4" w:rsidRDefault="006774F4" w:rsidP="00AA5586">
            <w:pPr>
              <w:spacing w:after="0" w:line="254" w:lineRule="auto"/>
              <w:jc w:val="center"/>
            </w:pPr>
            <w:r>
              <w:rPr>
                <w:sz w:val="18"/>
                <w:szCs w:val="18"/>
              </w:rPr>
              <w:t>Technology</w:t>
            </w:r>
          </w:p>
        </w:tc>
      </w:tr>
      <w:tr w:rsidR="006774F4" w14:paraId="58290791"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2235739"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0D5F8F4"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BBC7AE9" w14:textId="77777777" w:rsidR="006774F4" w:rsidRDefault="006774F4" w:rsidP="00AA5586">
            <w:pPr>
              <w:spacing w:after="0" w:line="254" w:lineRule="auto"/>
              <w:jc w:val="center"/>
            </w:pPr>
            <w:r>
              <w:rPr>
                <w:b/>
                <w:bCs/>
                <w:color w:val="B85C30"/>
                <w:sz w:val="18"/>
                <w:szCs w:val="18"/>
                <w:lang w:val="fr-CA"/>
              </w:rPr>
              <w:t>22,7 %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C4276B" w14:textId="77777777" w:rsidR="006774F4" w:rsidRDefault="006774F4" w:rsidP="00AA5586">
            <w:pPr>
              <w:spacing w:after="0" w:line="254" w:lineRule="auto"/>
              <w:jc w:val="center"/>
            </w:pPr>
            <w:r>
              <w:rPr>
                <w:sz w:val="18"/>
                <w:szCs w:val="18"/>
              </w:rPr>
              <w:t>Contracts</w:t>
            </w:r>
          </w:p>
        </w:tc>
      </w:tr>
      <w:tr w:rsidR="006774F4" w14:paraId="7861E02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41B65" w14:textId="77777777" w:rsidR="006774F4" w:rsidRDefault="006774F4" w:rsidP="00AA5586">
            <w:pPr>
              <w:spacing w:after="0" w:line="254" w:lineRule="auto"/>
              <w:jc w:val="center"/>
            </w:pPr>
            <w:r>
              <w:rPr>
                <w:b/>
                <w:bCs/>
                <w:sz w:val="18"/>
                <w:szCs w:val="18"/>
              </w:rPr>
              <w:t>C09</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6BC3BD" w14:textId="77777777" w:rsidR="006774F4" w:rsidRPr="006774F4" w:rsidRDefault="006774F4" w:rsidP="00AA5586">
            <w:pPr>
              <w:spacing w:after="0" w:line="254" w:lineRule="auto"/>
              <w:rPr>
                <w:lang w:val="fr-FR"/>
              </w:rPr>
            </w:pPr>
            <w:r>
              <w:rPr>
                <w:sz w:val="18"/>
                <w:szCs w:val="18"/>
                <w:lang w:val="fr-CA"/>
              </w:rPr>
              <w:t>Intégrité ou équité de l’approvisionnement, ou conflits d’intérêts</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0FF87" w14:textId="77777777" w:rsidR="006774F4" w:rsidRDefault="006774F4" w:rsidP="00AA5586">
            <w:pPr>
              <w:spacing w:after="0" w:line="254" w:lineRule="auto"/>
              <w:jc w:val="center"/>
            </w:pPr>
            <w:r>
              <w:rPr>
                <w:b/>
                <w:bCs/>
                <w:color w:val="B85C30"/>
                <w:sz w:val="18"/>
                <w:szCs w:val="18"/>
                <w:lang w:val="fr-CA"/>
              </w:rPr>
              <w:t>10,0 %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7BE07" w14:textId="77777777" w:rsidR="006774F4" w:rsidRDefault="006774F4" w:rsidP="00AA5586">
            <w:pPr>
              <w:spacing w:after="0" w:line="254" w:lineRule="auto"/>
              <w:jc w:val="center"/>
            </w:pPr>
            <w:r>
              <w:rPr>
                <w:sz w:val="18"/>
                <w:szCs w:val="18"/>
              </w:rPr>
              <w:t>Contracts</w:t>
            </w:r>
          </w:p>
        </w:tc>
      </w:tr>
      <w:tr w:rsidR="006774F4" w14:paraId="30677A2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DE1B25A" w14:textId="77777777" w:rsidR="006774F4" w:rsidRDefault="006774F4" w:rsidP="00AA5586">
            <w:pPr>
              <w:spacing w:after="0" w:line="254" w:lineRule="auto"/>
              <w:jc w:val="center"/>
            </w:pPr>
            <w:r>
              <w:rPr>
                <w:b/>
                <w:bCs/>
                <w:sz w:val="18"/>
                <w:szCs w:val="18"/>
              </w:rPr>
              <w:t>C10</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8413B8" w14:textId="77777777" w:rsidR="006774F4" w:rsidRPr="006774F4" w:rsidRDefault="006774F4" w:rsidP="00AA5586">
            <w:pPr>
              <w:spacing w:after="0" w:line="254" w:lineRule="auto"/>
              <w:rPr>
                <w:lang w:val="fr-FR"/>
              </w:rPr>
            </w:pPr>
            <w:r>
              <w:rPr>
                <w:sz w:val="18"/>
                <w:szCs w:val="18"/>
                <w:lang w:val="fr-CA"/>
              </w:rPr>
              <w:t>Contrôle insuffisant des modifications et des réclamations</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3F53857" w14:textId="77777777" w:rsidR="006774F4" w:rsidRDefault="006774F4" w:rsidP="00AA5586">
            <w:pPr>
              <w:spacing w:after="0" w:line="254" w:lineRule="auto"/>
              <w:jc w:val="center"/>
            </w:pPr>
            <w:r>
              <w:rPr>
                <w:b/>
                <w:bCs/>
                <w:color w:val="B85C30"/>
                <w:sz w:val="18"/>
                <w:szCs w:val="18"/>
                <w:lang w:val="fr-CA"/>
              </w:rPr>
              <w:t>10,0 %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17F0173" w14:textId="77777777" w:rsidR="006774F4" w:rsidRDefault="006774F4" w:rsidP="00AA5586">
            <w:pPr>
              <w:spacing w:after="0" w:line="254" w:lineRule="auto"/>
              <w:jc w:val="center"/>
            </w:pPr>
            <w:r>
              <w:rPr>
                <w:sz w:val="18"/>
                <w:szCs w:val="18"/>
              </w:rPr>
              <w:t>Process</w:t>
            </w:r>
          </w:p>
        </w:tc>
      </w:tr>
      <w:tr w:rsidR="006774F4" w14:paraId="3B097ED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73C03" w14:textId="77777777" w:rsidR="006774F4" w:rsidRDefault="006774F4" w:rsidP="00AA5586">
            <w:pPr>
              <w:spacing w:after="0" w:line="254" w:lineRule="auto"/>
              <w:jc w:val="center"/>
            </w:pPr>
            <w:r>
              <w:rPr>
                <w:b/>
                <w:bCs/>
                <w:sz w:val="18"/>
                <w:szCs w:val="18"/>
              </w:rPr>
              <w:t>C11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5F7E2" w14:textId="77777777" w:rsidR="006774F4" w:rsidRPr="006774F4" w:rsidRDefault="006774F4" w:rsidP="00AA5586">
            <w:pPr>
              <w:spacing w:after="0" w:line="254" w:lineRule="auto"/>
              <w:rPr>
                <w:lang w:val="fr-FR"/>
              </w:rPr>
            </w:pPr>
            <w:r>
              <w:rPr>
                <w:sz w:val="18"/>
                <w:szCs w:val="18"/>
                <w:lang w:val="fr-CA"/>
              </w:rPr>
              <w:t>Bénéfices ou performance non mesurés</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38D2A" w14:textId="77777777" w:rsidR="006774F4" w:rsidRDefault="006774F4" w:rsidP="00AA5586">
            <w:pPr>
              <w:spacing w:after="0" w:line="254" w:lineRule="auto"/>
              <w:jc w:val="center"/>
            </w:pPr>
            <w:r>
              <w:rPr>
                <w:b/>
                <w:bCs/>
                <w:color w:val="B85C30"/>
                <w:sz w:val="18"/>
                <w:szCs w:val="18"/>
                <w:lang w:val="fr-CA"/>
              </w:rPr>
              <w:t>20,9 %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B6BF5" w14:textId="77777777" w:rsidR="006774F4" w:rsidRDefault="006774F4" w:rsidP="00AA5586">
            <w:pPr>
              <w:spacing w:after="0" w:line="254" w:lineRule="auto"/>
              <w:jc w:val="center"/>
            </w:pPr>
            <w:r>
              <w:rPr>
                <w:sz w:val="18"/>
                <w:szCs w:val="18"/>
              </w:rPr>
              <w:t>Governance</w:t>
            </w:r>
          </w:p>
        </w:tc>
      </w:tr>
      <w:tr w:rsidR="006774F4" w14:paraId="4E38AF06"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6536946"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8FA8F99"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F63D373" w14:textId="77777777" w:rsidR="006774F4" w:rsidRDefault="006774F4" w:rsidP="00AA5586">
            <w:pPr>
              <w:spacing w:after="0" w:line="254" w:lineRule="auto"/>
              <w:jc w:val="center"/>
            </w:pPr>
            <w:r>
              <w:rPr>
                <w:b/>
                <w:bCs/>
                <w:color w:val="B85C30"/>
                <w:sz w:val="18"/>
                <w:szCs w:val="18"/>
                <w:lang w:val="fr-CA"/>
              </w:rPr>
              <w:t>34,5 %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3B3A7C9" w14:textId="77777777" w:rsidR="006774F4" w:rsidRDefault="006774F4" w:rsidP="00AA5586">
            <w:pPr>
              <w:spacing w:after="0" w:line="254" w:lineRule="auto"/>
              <w:jc w:val="center"/>
            </w:pPr>
            <w:r>
              <w:rPr>
                <w:sz w:val="18"/>
                <w:szCs w:val="18"/>
              </w:rPr>
              <w:t>Governance</w:t>
            </w:r>
          </w:p>
        </w:tc>
      </w:tr>
      <w:tr w:rsidR="006774F4" w14:paraId="1BBAFC8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F4D52" w14:textId="77777777" w:rsidR="006774F4" w:rsidRDefault="006774F4" w:rsidP="00AA5586">
            <w:pPr>
              <w:spacing w:after="0" w:line="254" w:lineRule="auto"/>
              <w:jc w:val="center"/>
            </w:pPr>
            <w:r>
              <w:rPr>
                <w:b/>
                <w:bCs/>
                <w:sz w:val="18"/>
                <w:szCs w:val="18"/>
              </w:rPr>
              <w:t>C13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64251" w14:textId="77777777" w:rsidR="006774F4" w:rsidRPr="006774F4" w:rsidRDefault="006774F4" w:rsidP="00AA5586">
            <w:pPr>
              <w:spacing w:after="0" w:line="254" w:lineRule="auto"/>
              <w:rPr>
                <w:lang w:val="fr-FR"/>
              </w:rPr>
            </w:pPr>
            <w:r>
              <w:rPr>
                <w:sz w:val="18"/>
                <w:szCs w:val="18"/>
                <w:lang w:val="fr-CA"/>
              </w:rPr>
              <w:t>Écart de capacité ou de compétences</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AFD42" w14:textId="77777777" w:rsidR="006774F4" w:rsidRDefault="006774F4" w:rsidP="00AA5586">
            <w:pPr>
              <w:spacing w:after="0" w:line="254" w:lineRule="auto"/>
              <w:jc w:val="center"/>
            </w:pPr>
            <w:r>
              <w:rPr>
                <w:b/>
                <w:bCs/>
                <w:color w:val="B85C30"/>
                <w:sz w:val="18"/>
                <w:szCs w:val="18"/>
                <w:lang w:val="fr-CA"/>
              </w:rPr>
              <w:t>7,3 %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2B308" w14:textId="77777777" w:rsidR="006774F4" w:rsidRDefault="006774F4" w:rsidP="00AA5586">
            <w:pPr>
              <w:spacing w:after="0" w:line="254" w:lineRule="auto"/>
              <w:jc w:val="center"/>
            </w:pPr>
            <w:r>
              <w:rPr>
                <w:sz w:val="18"/>
                <w:szCs w:val="18"/>
              </w:rPr>
              <w:t>People</w:t>
            </w:r>
          </w:p>
        </w:tc>
      </w:tr>
      <w:tr w:rsidR="006774F4" w14:paraId="1950E5B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F764026" w14:textId="77777777" w:rsidR="006774F4" w:rsidRDefault="006774F4" w:rsidP="00AA5586">
            <w:pPr>
              <w:spacing w:after="0" w:line="254" w:lineRule="auto"/>
              <w:jc w:val="center"/>
            </w:pPr>
            <w:r>
              <w:rPr>
                <w:b/>
                <w:bCs/>
                <w:sz w:val="18"/>
                <w:szCs w:val="18"/>
              </w:rPr>
              <w:t>C14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687D6BC" w14:textId="77777777" w:rsidR="006774F4" w:rsidRPr="006774F4" w:rsidRDefault="006774F4" w:rsidP="00AA5586">
            <w:pPr>
              <w:spacing w:after="0" w:line="254" w:lineRule="auto"/>
              <w:rPr>
                <w:lang w:val="fr-FR"/>
              </w:rPr>
            </w:pPr>
            <w:r>
              <w:rPr>
                <w:sz w:val="18"/>
                <w:szCs w:val="18"/>
                <w:lang w:val="fr-CA"/>
              </w:rPr>
              <w:t>Défaillance de l’assurance qualité, de l’inspection ou de la mise en service</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445B78C" w14:textId="77777777" w:rsidR="006774F4" w:rsidRDefault="006774F4" w:rsidP="00AA5586">
            <w:pPr>
              <w:spacing w:after="0" w:line="254" w:lineRule="auto"/>
              <w:jc w:val="center"/>
            </w:pPr>
            <w:r>
              <w:rPr>
                <w:b/>
                <w:bCs/>
                <w:color w:val="B85C30"/>
                <w:sz w:val="18"/>
                <w:szCs w:val="18"/>
                <w:lang w:val="fr-CA"/>
              </w:rPr>
              <w:t>10,9 %</w:t>
            </w:r>
          </w:p>
        </w:tc>
        <w:tc>
          <w:tcPr>
            <w:tcW w:w="274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19F5A1D" w14:textId="77777777" w:rsidR="006774F4" w:rsidRDefault="006774F4" w:rsidP="00AA5586">
            <w:pPr>
              <w:spacing w:after="0" w:line="254" w:lineRule="auto"/>
              <w:jc w:val="center"/>
            </w:pPr>
            <w:r>
              <w:rPr>
                <w:sz w:val="18"/>
                <w:szCs w:val="18"/>
              </w:rPr>
              <w:t>Process</w:t>
            </w:r>
          </w:p>
        </w:tc>
      </w:tr>
      <w:tr w:rsidR="006774F4" w14:paraId="656C560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9C638" w14:textId="77777777" w:rsidR="006774F4" w:rsidRDefault="006774F4" w:rsidP="00AA5586">
            <w:pPr>
              <w:spacing w:after="0" w:line="254" w:lineRule="auto"/>
              <w:jc w:val="center"/>
            </w:pPr>
            <w:r>
              <w:rPr>
                <w:b/>
                <w:bCs/>
                <w:sz w:val="18"/>
                <w:szCs w:val="18"/>
              </w:rPr>
              <w:t>C15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862E47" w14:textId="77777777" w:rsidR="006774F4" w:rsidRPr="006774F4" w:rsidRDefault="006774F4" w:rsidP="00AA5586">
            <w:pPr>
              <w:spacing w:after="0" w:line="254" w:lineRule="auto"/>
              <w:rPr>
                <w:lang w:val="fr-FR"/>
              </w:rPr>
            </w:pPr>
            <w:r>
              <w:rPr>
                <w:sz w:val="18"/>
                <w:szCs w:val="18"/>
                <w:lang w:val="fr-CA"/>
              </w:rPr>
              <w:t>Assurance indépendante ou surveillance absente ou tardive</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A551F" w14:textId="77777777" w:rsidR="006774F4" w:rsidRDefault="006774F4" w:rsidP="00AA5586">
            <w:pPr>
              <w:spacing w:after="0" w:line="254" w:lineRule="auto"/>
              <w:jc w:val="center"/>
            </w:pPr>
            <w:r>
              <w:rPr>
                <w:b/>
                <w:bCs/>
                <w:color w:val="B85C30"/>
                <w:sz w:val="18"/>
                <w:szCs w:val="18"/>
                <w:lang w:val="fr-CA"/>
              </w:rPr>
              <w:t>20,9 %</w:t>
            </w:r>
          </w:p>
        </w:tc>
        <w:tc>
          <w:tcPr>
            <w:tcW w:w="2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9085DE" w14:textId="77777777" w:rsidR="006774F4" w:rsidRDefault="006774F4" w:rsidP="00AA5586">
            <w:pPr>
              <w:spacing w:after="0" w:line="254" w:lineRule="auto"/>
              <w:jc w:val="center"/>
            </w:pPr>
            <w:r>
              <w:rPr>
                <w:sz w:val="18"/>
                <w:szCs w:val="18"/>
              </w:rPr>
              <w:t>Governance</w:t>
            </w:r>
          </w:p>
        </w:tc>
      </w:tr>
    </w:tbl>
    <w:p w14:paraId="082C8C0E" w14:textId="77777777" w:rsidR="006774F4" w:rsidRDefault="006774F4" w:rsidP="006774F4"/>
    <w:p w14:paraId="3005BC32" w14:textId="77777777" w:rsidR="006774F4" w:rsidRPr="006774F4" w:rsidRDefault="006774F4" w:rsidP="006774F4">
      <w:pPr>
        <w:rPr>
          <w:lang w:val="fr-FR"/>
        </w:rPr>
      </w:pPr>
      <w:r>
        <w:rPr>
          <w:lang w:val="fr-CA"/>
        </w:rPr>
        <w:t>Communiquez avec nous si vous souhaitez discuter de l’ensemble de notre registre.</w:t>
      </w:r>
    </w:p>
    <w:p w14:paraId="67118C19" w14:textId="77777777" w:rsidR="006774F4" w:rsidRPr="006774F4" w:rsidRDefault="006774F4" w:rsidP="006774F4">
      <w:pPr>
        <w:pStyle w:val="Heading2"/>
        <w:rPr>
          <w:lang w:val="fr-FR"/>
        </w:rPr>
      </w:pPr>
      <w:bookmarkStart w:id="13" w:name="__RefHeading___Toc4767_3048004937"/>
      <w:bookmarkStart w:id="14" w:name="_Toc239750650"/>
      <w:bookmarkEnd w:id="13"/>
      <w:r>
        <w:rPr>
          <w:lang w:val="fr-CA"/>
        </w:rPr>
        <w:t>Structure des cas</w:t>
      </w:r>
      <w:bookmarkEnd w:id="14"/>
    </w:p>
    <w:p w14:paraId="2738954B" w14:textId="77777777" w:rsidR="006774F4" w:rsidRPr="006774F4" w:rsidRDefault="006774F4" w:rsidP="006774F4">
      <w:pPr>
        <w:rPr>
          <w:lang w:val="fr-FR"/>
        </w:rPr>
      </w:pPr>
      <w:r>
        <w:rPr>
          <w:lang w:val="fr-CA"/>
        </w:rPr>
        <w:t>Tous les cas du présent livre blanc suivent la même structure afin de permettre au lecteur de les comparer entre eux ou de se concentrer uniquement sur ceux qui se rapprochent le plus de la réalité de son organisation.</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898"/>
        <w:gridCol w:w="7342"/>
      </w:tblGrid>
      <w:tr w:rsidR="006774F4" w14:paraId="34EB3BCE" w14:textId="77777777" w:rsidTr="00AA5586">
        <w:trPr>
          <w:cantSplit/>
          <w:tblHeader/>
        </w:trPr>
        <w:tc>
          <w:tcPr>
            <w:tcW w:w="2898" w:type="dxa"/>
            <w:tcBorders>
              <w:bottom w:val="single" w:sz="4" w:space="0" w:color="000000"/>
            </w:tcBorders>
            <w:shd w:val="clear" w:color="auto" w:fill="1B3A6B"/>
          </w:tcPr>
          <w:p w14:paraId="40C41B8A" w14:textId="77777777" w:rsidR="006774F4" w:rsidRDefault="006774F4" w:rsidP="00AA5586">
            <w:pPr>
              <w:spacing w:after="0" w:line="254" w:lineRule="auto"/>
              <w:jc w:val="center"/>
            </w:pPr>
            <w:r>
              <w:rPr>
                <w:b/>
                <w:bCs/>
                <w:caps/>
                <w:color w:val="FFFFFF"/>
                <w:spacing w:val="16"/>
                <w:sz w:val="19"/>
                <w:szCs w:val="19"/>
                <w:lang w:val="fr-CA"/>
              </w:rPr>
              <w:lastRenderedPageBreak/>
              <w:t>Section</w:t>
            </w:r>
          </w:p>
        </w:tc>
        <w:tc>
          <w:tcPr>
            <w:tcW w:w="7341" w:type="dxa"/>
            <w:tcBorders>
              <w:bottom w:val="single" w:sz="4" w:space="0" w:color="000000"/>
            </w:tcBorders>
            <w:shd w:val="clear" w:color="auto" w:fill="1B3A6B"/>
          </w:tcPr>
          <w:p w14:paraId="3E6146F0" w14:textId="77777777" w:rsidR="006774F4" w:rsidRDefault="006774F4" w:rsidP="00AA5586">
            <w:pPr>
              <w:spacing w:after="0" w:line="254" w:lineRule="auto"/>
              <w:jc w:val="center"/>
            </w:pPr>
            <w:r>
              <w:rPr>
                <w:b/>
                <w:bCs/>
                <w:caps/>
                <w:color w:val="FFFFFF"/>
                <w:spacing w:val="16"/>
                <w:sz w:val="19"/>
                <w:szCs w:val="19"/>
                <w:lang w:val="fr-CA"/>
              </w:rPr>
              <w:t>Contenu et provenance</w:t>
            </w:r>
          </w:p>
        </w:tc>
      </w:tr>
      <w:tr w:rsidR="006774F4" w14:paraId="60F67604"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226C7" w14:textId="77777777" w:rsidR="006774F4" w:rsidRDefault="006774F4" w:rsidP="00AA5586">
            <w:pPr>
              <w:spacing w:after="0" w:line="254" w:lineRule="auto"/>
              <w:jc w:val="center"/>
            </w:pPr>
            <w:r>
              <w:rPr>
                <w:b/>
                <w:bCs/>
                <w:sz w:val="19"/>
                <w:szCs w:val="19"/>
                <w:lang w:val="fr-CA"/>
              </w:rPr>
              <w:t>Fiche du cas</w:t>
            </w:r>
          </w:p>
        </w:tc>
        <w:tc>
          <w:tcPr>
            <w:tcW w:w="7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66B13" w14:textId="77777777" w:rsidR="006774F4" w:rsidRDefault="006774F4" w:rsidP="00AA5586">
            <w:pPr>
              <w:spacing w:after="0" w:line="254" w:lineRule="auto"/>
            </w:pPr>
            <w:r>
              <w:rPr>
                <w:sz w:val="19"/>
                <w:szCs w:val="19"/>
                <w:lang w:val="fr-CA"/>
              </w:rPr>
              <w:t>Un tableau factuel : identifiant du registre, organisme de surveillance, rapport et année, catégorie d’actifs, valeur du projet, bilan des coûts, bilan de l’échéancier et dimensions. Tous les champs proviennent du rapport.</w:t>
            </w:r>
          </w:p>
        </w:tc>
      </w:tr>
      <w:tr w:rsidR="006774F4" w:rsidRPr="006774F4" w14:paraId="2028994A"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A1A678B" w14:textId="77777777" w:rsidR="006774F4" w:rsidRDefault="006774F4" w:rsidP="00AA5586">
            <w:pPr>
              <w:spacing w:after="0" w:line="254" w:lineRule="auto"/>
              <w:jc w:val="center"/>
            </w:pPr>
            <w:r>
              <w:rPr>
                <w:b/>
                <w:bCs/>
                <w:sz w:val="19"/>
                <w:szCs w:val="19"/>
                <w:lang w:val="fr-CA"/>
              </w:rPr>
              <w:t>Ce qui s’est passé</w:t>
            </w:r>
          </w:p>
        </w:tc>
        <w:tc>
          <w:tcPr>
            <w:tcW w:w="7341"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2033583" w14:textId="77777777" w:rsidR="006774F4" w:rsidRPr="006774F4" w:rsidRDefault="006774F4" w:rsidP="00AA5586">
            <w:pPr>
              <w:spacing w:after="0" w:line="254" w:lineRule="auto"/>
              <w:rPr>
                <w:lang w:val="fr-FR"/>
              </w:rPr>
            </w:pPr>
            <w:r>
              <w:rPr>
                <w:sz w:val="19"/>
                <w:szCs w:val="19"/>
                <w:lang w:val="fr-CA"/>
              </w:rPr>
              <w:t>Un bref récit rédigé par Clarity Builders. Chaque affirmation factuelle peut toutefois être retracée dans le rapport cité dans le tableau factuel.</w:t>
            </w:r>
          </w:p>
        </w:tc>
      </w:tr>
      <w:tr w:rsidR="006774F4" w:rsidRPr="006774F4" w14:paraId="3609EAA7"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D7649" w14:textId="77777777" w:rsidR="006774F4" w:rsidRDefault="006774F4" w:rsidP="00AA5586">
            <w:pPr>
              <w:spacing w:after="0" w:line="254" w:lineRule="auto"/>
              <w:jc w:val="center"/>
            </w:pPr>
            <w:r>
              <w:rPr>
                <w:b/>
                <w:bCs/>
                <w:sz w:val="19"/>
                <w:szCs w:val="19"/>
                <w:lang w:val="fr-CA"/>
              </w:rPr>
              <w:t>Constats du rapport</w:t>
            </w:r>
          </w:p>
        </w:tc>
        <w:tc>
          <w:tcPr>
            <w:tcW w:w="7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FB685" w14:textId="77777777" w:rsidR="006774F4" w:rsidRPr="006774F4" w:rsidRDefault="006774F4" w:rsidP="00AA5586">
            <w:pPr>
              <w:spacing w:after="0" w:line="254" w:lineRule="auto"/>
              <w:rPr>
                <w:lang w:val="fr-FR"/>
              </w:rPr>
            </w:pPr>
            <w:r>
              <w:rPr>
                <w:sz w:val="19"/>
                <w:szCs w:val="19"/>
                <w:lang w:val="fr-CA"/>
              </w:rPr>
              <w:t>Constats cités. Lorsqu’un passage est entre guillemets, il reprend les termes du rapport plutôt qu’une paraphrase.</w:t>
            </w:r>
          </w:p>
        </w:tc>
      </w:tr>
      <w:tr w:rsidR="006774F4" w:rsidRPr="006774F4" w14:paraId="7908C68B"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57BD672" w14:textId="77777777" w:rsidR="006774F4" w:rsidRPr="006774F4" w:rsidRDefault="006774F4" w:rsidP="00AA5586">
            <w:pPr>
              <w:spacing w:after="0" w:line="254" w:lineRule="auto"/>
              <w:jc w:val="center"/>
              <w:rPr>
                <w:lang w:val="fr-FR"/>
              </w:rPr>
            </w:pPr>
            <w:r>
              <w:rPr>
                <w:b/>
                <w:bCs/>
                <w:sz w:val="19"/>
                <w:szCs w:val="19"/>
                <w:lang w:val="fr-CA"/>
              </w:rPr>
              <w:t>Codes de cause relevés pour le projet</w:t>
            </w:r>
          </w:p>
        </w:tc>
        <w:tc>
          <w:tcPr>
            <w:tcW w:w="7341"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ADE9BB8" w14:textId="77777777" w:rsidR="006774F4" w:rsidRPr="006774F4" w:rsidRDefault="006774F4" w:rsidP="00AA5586">
            <w:pPr>
              <w:spacing w:after="0" w:line="254" w:lineRule="auto"/>
              <w:rPr>
                <w:lang w:val="fr-FR"/>
              </w:rPr>
            </w:pPr>
            <w:r>
              <w:rPr>
                <w:sz w:val="19"/>
                <w:szCs w:val="19"/>
                <w:lang w:val="fr-CA"/>
              </w:rPr>
              <w:t>Les codes de cause attribués au rapport, accompagnés de la proportion des 110 entrées canadiennes portant le même code. C’est ce qui permet de situer le cas dans une tendance générale plutôt que de le traiter comme une anecdote.</w:t>
            </w:r>
          </w:p>
        </w:tc>
      </w:tr>
      <w:tr w:rsidR="006774F4" w:rsidRPr="006774F4" w14:paraId="4972EB4A"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5C77E" w14:textId="77777777" w:rsidR="006774F4" w:rsidRPr="006774F4" w:rsidRDefault="006774F4" w:rsidP="00AA5586">
            <w:pPr>
              <w:spacing w:after="0" w:line="254" w:lineRule="auto"/>
              <w:jc w:val="center"/>
              <w:rPr>
                <w:lang w:val="fr-FR"/>
              </w:rPr>
            </w:pPr>
            <w:r>
              <w:rPr>
                <w:b/>
                <w:bCs/>
                <w:sz w:val="19"/>
                <w:szCs w:val="19"/>
                <w:lang w:val="fr-CA"/>
              </w:rPr>
              <w:t xml:space="preserve">Ce qu’une intervention de Clarity </w:t>
            </w:r>
            <w:proofErr w:type="spellStart"/>
            <w:r>
              <w:rPr>
                <w:b/>
                <w:bCs/>
                <w:sz w:val="19"/>
                <w:szCs w:val="19"/>
                <w:lang w:val="fr-CA"/>
              </w:rPr>
              <w:t>Builders</w:t>
            </w:r>
            <w:proofErr w:type="spellEnd"/>
            <w:r>
              <w:rPr>
                <w:b/>
                <w:bCs/>
                <w:sz w:val="19"/>
                <w:szCs w:val="19"/>
                <w:lang w:val="fr-CA"/>
              </w:rPr>
              <w:t xml:space="preserve"> aurait permis d’aborder</w:t>
            </w:r>
          </w:p>
        </w:tc>
        <w:tc>
          <w:tcPr>
            <w:tcW w:w="7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3167F" w14:textId="77777777" w:rsidR="006774F4" w:rsidRPr="006774F4" w:rsidRDefault="006774F4" w:rsidP="00AA5586">
            <w:pPr>
              <w:spacing w:after="0" w:line="254" w:lineRule="auto"/>
              <w:rPr>
                <w:lang w:val="fr-FR"/>
              </w:rPr>
            </w:pPr>
            <w:r>
              <w:rPr>
                <w:sz w:val="19"/>
                <w:szCs w:val="19"/>
                <w:lang w:val="fr-CA"/>
              </w:rPr>
              <w:t>Les services du Clarity Compass qui répondent directement aux constats formulés dans le rapport, avec une explication du lien. Toutes les défaillances ne correspondent pas à un service; lorsque c’est le cas, nous le précisons.</w:t>
            </w:r>
          </w:p>
        </w:tc>
      </w:tr>
      <w:tr w:rsidR="006774F4" w14:paraId="49783A1A"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8B957F6" w14:textId="77777777" w:rsidR="006774F4" w:rsidRDefault="006774F4" w:rsidP="00AA5586">
            <w:pPr>
              <w:spacing w:after="0" w:line="254" w:lineRule="auto"/>
              <w:jc w:val="center"/>
            </w:pPr>
            <w:r>
              <w:rPr>
                <w:b/>
                <w:bCs/>
                <w:sz w:val="19"/>
                <w:szCs w:val="19"/>
                <w:lang w:val="fr-CA"/>
              </w:rPr>
              <w:t>Scénario illustratif</w:t>
            </w:r>
          </w:p>
        </w:tc>
        <w:tc>
          <w:tcPr>
            <w:tcW w:w="7341"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9706FA7" w14:textId="77777777" w:rsidR="006774F4" w:rsidRDefault="006774F4" w:rsidP="00AA5586">
            <w:pPr>
              <w:spacing w:after="0" w:line="254" w:lineRule="auto"/>
            </w:pPr>
            <w:r>
              <w:rPr>
                <w:sz w:val="19"/>
                <w:szCs w:val="19"/>
                <w:lang w:val="fr-CA"/>
              </w:rPr>
              <w:t>Un scénario contrefactuel tourné vers l’avenir, clairement identifié, assorti de réserves et appuyé sur les sources. Voir ci-dessous.</w:t>
            </w:r>
          </w:p>
        </w:tc>
      </w:tr>
      <w:tr w:rsidR="006774F4" w:rsidRPr="006774F4" w14:paraId="5C255EFB" w14:textId="77777777" w:rsidTr="00AA5586">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9C885" w14:textId="77777777" w:rsidR="006774F4" w:rsidRDefault="006774F4" w:rsidP="00AA5586">
            <w:pPr>
              <w:spacing w:after="0" w:line="254" w:lineRule="auto"/>
              <w:jc w:val="center"/>
            </w:pPr>
            <w:r>
              <w:rPr>
                <w:b/>
                <w:bCs/>
                <w:sz w:val="19"/>
                <w:szCs w:val="19"/>
                <w:lang w:val="fr-CA"/>
              </w:rPr>
              <w:t>Contrefactuel</w:t>
            </w:r>
          </w:p>
        </w:tc>
        <w:tc>
          <w:tcPr>
            <w:tcW w:w="7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E5E53" w14:textId="77777777" w:rsidR="006774F4" w:rsidRPr="006774F4" w:rsidRDefault="006774F4" w:rsidP="00AA5586">
            <w:pPr>
              <w:spacing w:after="0" w:line="254" w:lineRule="auto"/>
              <w:rPr>
                <w:lang w:val="fr-FR"/>
              </w:rPr>
            </w:pPr>
            <w:r>
              <w:rPr>
                <w:sz w:val="19"/>
                <w:szCs w:val="19"/>
                <w:lang w:val="fr-CA"/>
              </w:rPr>
              <w:t>Les limites du scénario contrefactuel, présentées sur la même page. C’est la section qu’un lecteur sceptique devrait consulter en premier.</w:t>
            </w:r>
          </w:p>
        </w:tc>
      </w:tr>
    </w:tbl>
    <w:p w14:paraId="20B9B24E" w14:textId="77777777" w:rsidR="006774F4" w:rsidRPr="006774F4" w:rsidRDefault="006774F4" w:rsidP="006774F4">
      <w:pPr>
        <w:rPr>
          <w:lang w:val="fr-FR"/>
        </w:rPr>
      </w:pPr>
    </w:p>
    <w:p w14:paraId="0EFA1C20" w14:textId="77777777" w:rsidR="006774F4" w:rsidRPr="006774F4" w:rsidRDefault="006774F4" w:rsidP="006774F4">
      <w:pPr>
        <w:pStyle w:val="Heading1"/>
        <w:spacing w:before="380" w:after="170"/>
        <w:rPr>
          <w:b/>
          <w:bCs/>
          <w:color w:val="1B3A6B"/>
          <w:sz w:val="28"/>
          <w:szCs w:val="28"/>
          <w:lang w:val="fr-FR"/>
        </w:rPr>
      </w:pPr>
      <w:bookmarkStart w:id="15" w:name="__RefHeading___Toc4769_3048004937"/>
      <w:bookmarkStart w:id="16" w:name="_Toc239750651"/>
      <w:bookmarkEnd w:id="15"/>
      <w:r>
        <w:rPr>
          <w:b/>
          <w:bCs/>
          <w:color w:val="1B3A6B"/>
          <w:sz w:val="28"/>
          <w:szCs w:val="28"/>
          <w:lang w:val="fr-CA"/>
        </w:rPr>
        <w:t>3.  Les 15 cas canadiens</w:t>
      </w:r>
      <w:bookmarkEnd w:id="16"/>
    </w:p>
    <w:p w14:paraId="2C15BD89" w14:textId="77777777" w:rsidR="006774F4" w:rsidRPr="006774F4" w:rsidRDefault="006774F4" w:rsidP="006774F4">
      <w:pPr>
        <w:rPr>
          <w:lang w:val="fr-FR"/>
        </w:rPr>
      </w:pPr>
      <w:r>
        <w:rPr>
          <w:lang w:val="fr-CA"/>
        </w:rPr>
        <w:t>Les cas sont présentés, de façon approximative, du plus connu au moins connu, et non selon la gravité. Il ne s’agit pas d’un classement et l’ordre ne doit pas être interprété comme tel.</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560"/>
        <w:gridCol w:w="1698"/>
        <w:gridCol w:w="1064"/>
        <w:gridCol w:w="2098"/>
        <w:gridCol w:w="4820"/>
      </w:tblGrid>
      <w:tr w:rsidR="006774F4" w14:paraId="776883C7" w14:textId="77777777" w:rsidTr="00AA5586">
        <w:trPr>
          <w:cantSplit/>
          <w:trHeight w:val="600"/>
          <w:tblHeader/>
        </w:trPr>
        <w:tc>
          <w:tcPr>
            <w:tcW w:w="560" w:type="dxa"/>
            <w:tcBorders>
              <w:bottom w:val="single" w:sz="4" w:space="0" w:color="000000"/>
            </w:tcBorders>
            <w:shd w:val="clear" w:color="auto" w:fill="1B3A6B"/>
          </w:tcPr>
          <w:p w14:paraId="5914F64D" w14:textId="77777777" w:rsidR="006774F4" w:rsidRDefault="006774F4" w:rsidP="00AA5586">
            <w:pPr>
              <w:spacing w:after="0" w:line="254" w:lineRule="auto"/>
              <w:jc w:val="center"/>
            </w:pPr>
            <w:r>
              <w:rPr>
                <w:b/>
                <w:bCs/>
                <w:caps/>
                <w:color w:val="FFFFFF"/>
                <w:spacing w:val="16"/>
                <w:sz w:val="18"/>
                <w:szCs w:val="18"/>
              </w:rPr>
              <w:t>#</w:t>
            </w:r>
          </w:p>
        </w:tc>
        <w:tc>
          <w:tcPr>
            <w:tcW w:w="1698" w:type="dxa"/>
            <w:tcBorders>
              <w:bottom w:val="single" w:sz="4" w:space="0" w:color="000000"/>
            </w:tcBorders>
            <w:shd w:val="clear" w:color="auto" w:fill="1B3A6B"/>
          </w:tcPr>
          <w:p w14:paraId="1439D765" w14:textId="77777777" w:rsidR="006774F4" w:rsidRDefault="006774F4" w:rsidP="00AA5586">
            <w:pPr>
              <w:spacing w:after="0" w:line="254" w:lineRule="auto"/>
              <w:jc w:val="center"/>
            </w:pPr>
            <w:r>
              <w:rPr>
                <w:b/>
                <w:bCs/>
                <w:caps/>
                <w:color w:val="FFFFFF"/>
                <w:spacing w:val="16"/>
                <w:sz w:val="18"/>
                <w:szCs w:val="18"/>
                <w:lang w:val="fr-CA"/>
              </w:rPr>
              <w:t>ID du registre</w:t>
            </w:r>
          </w:p>
        </w:tc>
        <w:tc>
          <w:tcPr>
            <w:tcW w:w="1064" w:type="dxa"/>
            <w:tcBorders>
              <w:bottom w:val="single" w:sz="4" w:space="0" w:color="000000"/>
            </w:tcBorders>
            <w:shd w:val="clear" w:color="auto" w:fill="1B3A6B"/>
          </w:tcPr>
          <w:p w14:paraId="0A08F4FE" w14:textId="77777777" w:rsidR="006774F4" w:rsidRDefault="006774F4" w:rsidP="00AA5586">
            <w:pPr>
              <w:spacing w:after="0" w:line="254" w:lineRule="auto"/>
              <w:jc w:val="center"/>
            </w:pPr>
            <w:r>
              <w:rPr>
                <w:b/>
                <w:bCs/>
                <w:caps/>
                <w:color w:val="FFFFFF"/>
                <w:spacing w:val="16"/>
                <w:sz w:val="18"/>
                <w:szCs w:val="18"/>
                <w:lang w:val="fr-CA"/>
              </w:rPr>
              <w:t>Année</w:t>
            </w:r>
          </w:p>
        </w:tc>
        <w:tc>
          <w:tcPr>
            <w:tcW w:w="2098" w:type="dxa"/>
            <w:tcBorders>
              <w:bottom w:val="single" w:sz="4" w:space="0" w:color="000000"/>
            </w:tcBorders>
            <w:shd w:val="clear" w:color="auto" w:fill="1B3A6B"/>
          </w:tcPr>
          <w:p w14:paraId="14AB69B3" w14:textId="77777777" w:rsidR="006774F4" w:rsidRDefault="006774F4" w:rsidP="00AA5586">
            <w:pPr>
              <w:spacing w:after="0" w:line="254" w:lineRule="auto"/>
              <w:jc w:val="center"/>
            </w:pPr>
            <w:r>
              <w:rPr>
                <w:b/>
                <w:bCs/>
                <w:caps/>
                <w:color w:val="FFFFFF"/>
                <w:spacing w:val="16"/>
                <w:sz w:val="16"/>
                <w:szCs w:val="18"/>
                <w:lang w:val="fr-CA"/>
              </w:rPr>
              <w:t>Administration</w:t>
            </w:r>
          </w:p>
        </w:tc>
        <w:tc>
          <w:tcPr>
            <w:tcW w:w="4820" w:type="dxa"/>
            <w:tcBorders>
              <w:bottom w:val="single" w:sz="4" w:space="0" w:color="000000"/>
            </w:tcBorders>
            <w:shd w:val="clear" w:color="auto" w:fill="1B3A6B"/>
          </w:tcPr>
          <w:p w14:paraId="0F02BF10" w14:textId="77777777" w:rsidR="006774F4" w:rsidRDefault="006774F4" w:rsidP="00AA5586">
            <w:pPr>
              <w:spacing w:after="0" w:line="254" w:lineRule="auto"/>
              <w:jc w:val="center"/>
            </w:pPr>
            <w:r>
              <w:rPr>
                <w:b/>
                <w:bCs/>
                <w:caps/>
                <w:color w:val="FFFFFF"/>
                <w:spacing w:val="16"/>
                <w:sz w:val="18"/>
                <w:szCs w:val="18"/>
                <w:lang w:val="fr-CA"/>
              </w:rPr>
              <w:t>Projet</w:t>
            </w:r>
          </w:p>
        </w:tc>
      </w:tr>
      <w:tr w:rsidR="006774F4" w14:paraId="5767A39E"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94679E" w14:textId="77777777" w:rsidR="006774F4" w:rsidRDefault="006774F4" w:rsidP="00AA5586">
            <w:pPr>
              <w:spacing w:after="0" w:line="254" w:lineRule="auto"/>
              <w:jc w:val="center"/>
              <w:rPr>
                <w:b/>
                <w:sz w:val="18"/>
                <w:szCs w:val="18"/>
              </w:rPr>
            </w:pPr>
            <w:r>
              <w:rPr>
                <w:b/>
                <w:sz w:val="18"/>
                <w:szCs w:val="18"/>
              </w:rPr>
              <w:t>1</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582230" w14:textId="77777777" w:rsidR="006774F4" w:rsidRDefault="006774F4" w:rsidP="00AA5586">
            <w:pPr>
              <w:spacing w:after="0" w:line="254" w:lineRule="auto"/>
              <w:jc w:val="center"/>
              <w:rPr>
                <w:sz w:val="18"/>
                <w:szCs w:val="18"/>
              </w:rPr>
            </w:pPr>
            <w:r>
              <w:rPr>
                <w:sz w:val="18"/>
                <w:szCs w:val="18"/>
              </w:rPr>
              <w:t>ON-21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248D23" w14:textId="77777777" w:rsidR="006774F4" w:rsidRDefault="006774F4" w:rsidP="00AA5586">
            <w:pPr>
              <w:spacing w:after="0" w:line="254" w:lineRule="auto"/>
              <w:jc w:val="center"/>
              <w:rPr>
                <w:sz w:val="18"/>
                <w:szCs w:val="18"/>
              </w:rPr>
            </w:pPr>
            <w:r>
              <w:rPr>
                <w:sz w:val="18"/>
                <w:szCs w:val="18"/>
              </w:rPr>
              <w:t>2022</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761BD" w14:textId="77777777" w:rsidR="006774F4" w:rsidRDefault="006774F4" w:rsidP="00AA5586">
            <w:pPr>
              <w:spacing w:after="0" w:line="254" w:lineRule="auto"/>
              <w:jc w:val="center"/>
              <w:rPr>
                <w:sz w:val="18"/>
                <w:szCs w:val="18"/>
              </w:rPr>
            </w:pPr>
            <w:r>
              <w:rPr>
                <w:sz w:val="18"/>
                <w:szCs w:val="18"/>
                <w:lang w:val="fr-CA"/>
              </w:rPr>
              <w:t>Ontario et Ville d’Ottawa</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7D6A66" w14:textId="77777777" w:rsidR="006774F4" w:rsidRDefault="006774F4" w:rsidP="00AA5586">
            <w:pPr>
              <w:spacing w:after="0" w:line="254" w:lineRule="auto"/>
              <w:rPr>
                <w:sz w:val="18"/>
                <w:szCs w:val="18"/>
              </w:rPr>
            </w:pPr>
            <w:r>
              <w:rPr>
                <w:sz w:val="18"/>
                <w:szCs w:val="18"/>
                <w:lang w:val="fr-CA"/>
              </w:rPr>
              <w:t>Train léger d’Ottawa, étape 1</w:t>
            </w:r>
          </w:p>
        </w:tc>
      </w:tr>
      <w:tr w:rsidR="006774F4" w:rsidRPr="006774F4" w14:paraId="658A2FB9"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DFCD910" w14:textId="77777777" w:rsidR="006774F4" w:rsidRDefault="006774F4" w:rsidP="00AA5586">
            <w:pPr>
              <w:spacing w:after="0" w:line="254" w:lineRule="auto"/>
              <w:jc w:val="center"/>
              <w:rPr>
                <w:b/>
                <w:sz w:val="18"/>
                <w:szCs w:val="18"/>
              </w:rPr>
            </w:pPr>
            <w:r>
              <w:rPr>
                <w:b/>
                <w:sz w:val="18"/>
                <w:szCs w:val="18"/>
              </w:rPr>
              <w:t>2</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8200D89" w14:textId="77777777" w:rsidR="006774F4" w:rsidRDefault="006774F4" w:rsidP="00AA5586">
            <w:pPr>
              <w:spacing w:after="0" w:line="254" w:lineRule="auto"/>
              <w:jc w:val="center"/>
              <w:rPr>
                <w:sz w:val="18"/>
                <w:szCs w:val="18"/>
              </w:rPr>
            </w:pPr>
            <w:r>
              <w:rPr>
                <w:sz w:val="18"/>
                <w:szCs w:val="18"/>
              </w:rPr>
              <w:t>WEST-28</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0B408A0" w14:textId="77777777" w:rsidR="006774F4" w:rsidRDefault="006774F4" w:rsidP="00AA5586">
            <w:pPr>
              <w:spacing w:after="0" w:line="254" w:lineRule="auto"/>
              <w:jc w:val="center"/>
              <w:rPr>
                <w:sz w:val="18"/>
                <w:szCs w:val="18"/>
              </w:rPr>
            </w:pPr>
            <w:r>
              <w:rPr>
                <w:sz w:val="18"/>
                <w:szCs w:val="18"/>
              </w:rPr>
              <w:t>2026</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BBC362" w14:textId="77777777" w:rsidR="006774F4" w:rsidRDefault="006774F4" w:rsidP="00AA5586">
            <w:pPr>
              <w:spacing w:after="0" w:line="254" w:lineRule="auto"/>
              <w:jc w:val="center"/>
              <w:rPr>
                <w:sz w:val="18"/>
                <w:szCs w:val="18"/>
              </w:rPr>
            </w:pPr>
            <w:r>
              <w:rPr>
                <w:sz w:val="18"/>
                <w:szCs w:val="18"/>
              </w:rPr>
              <w:t>Manitoba</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F4357C0" w14:textId="77777777" w:rsidR="006774F4" w:rsidRPr="006774F4" w:rsidRDefault="006774F4" w:rsidP="00AA5586">
            <w:pPr>
              <w:spacing w:after="0" w:line="254" w:lineRule="auto"/>
              <w:rPr>
                <w:sz w:val="18"/>
                <w:szCs w:val="18"/>
                <w:lang w:val="fr-FR"/>
              </w:rPr>
            </w:pPr>
            <w:r>
              <w:rPr>
                <w:sz w:val="18"/>
                <w:szCs w:val="18"/>
                <w:lang w:val="fr-CA"/>
              </w:rPr>
              <w:t>Quartier général du Service de police de Winnipeg</w:t>
            </w:r>
          </w:p>
        </w:tc>
      </w:tr>
      <w:tr w:rsidR="006774F4" w14:paraId="5BB4E3DE"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55B749" w14:textId="77777777" w:rsidR="006774F4" w:rsidRDefault="006774F4" w:rsidP="00AA5586">
            <w:pPr>
              <w:spacing w:after="0" w:line="254" w:lineRule="auto"/>
              <w:jc w:val="center"/>
              <w:rPr>
                <w:b/>
                <w:sz w:val="18"/>
                <w:szCs w:val="18"/>
              </w:rPr>
            </w:pPr>
            <w:r>
              <w:rPr>
                <w:b/>
                <w:sz w:val="18"/>
                <w:szCs w:val="18"/>
              </w:rPr>
              <w:t>3</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650E49" w14:textId="77777777" w:rsidR="006774F4" w:rsidRDefault="006774F4" w:rsidP="00AA5586">
            <w:pPr>
              <w:spacing w:after="0" w:line="254" w:lineRule="auto"/>
              <w:jc w:val="center"/>
              <w:rPr>
                <w:sz w:val="18"/>
                <w:szCs w:val="18"/>
              </w:rPr>
            </w:pPr>
            <w:r>
              <w:rPr>
                <w:sz w:val="18"/>
                <w:szCs w:val="18"/>
              </w:rPr>
              <w:t>ON-23</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E1EB26" w14:textId="77777777" w:rsidR="006774F4" w:rsidRDefault="006774F4" w:rsidP="00AA5586">
            <w:pPr>
              <w:spacing w:after="0" w:line="254" w:lineRule="auto"/>
              <w:jc w:val="center"/>
              <w:rPr>
                <w:sz w:val="18"/>
                <w:szCs w:val="18"/>
              </w:rPr>
            </w:pPr>
            <w:r>
              <w:rPr>
                <w:sz w:val="18"/>
                <w:szCs w:val="18"/>
              </w:rPr>
              <w:t>2026</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06F3F0" w14:textId="77777777" w:rsidR="006774F4" w:rsidRDefault="006774F4" w:rsidP="00AA5586">
            <w:pPr>
              <w:spacing w:after="0" w:line="254" w:lineRule="auto"/>
              <w:jc w:val="center"/>
              <w:rPr>
                <w:sz w:val="18"/>
                <w:szCs w:val="18"/>
              </w:rPr>
            </w:pPr>
            <w:r>
              <w:rPr>
                <w:sz w:val="18"/>
                <w:szCs w:val="18"/>
                <w:lang w:val="fr-CA"/>
              </w:rPr>
              <w:t>Ville de Toronto</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C8FD95" w14:textId="77777777" w:rsidR="006774F4" w:rsidRDefault="006774F4" w:rsidP="00AA5586">
            <w:pPr>
              <w:spacing w:after="0" w:line="254" w:lineRule="auto"/>
              <w:rPr>
                <w:sz w:val="18"/>
                <w:szCs w:val="18"/>
              </w:rPr>
            </w:pPr>
            <w:r>
              <w:rPr>
                <w:sz w:val="18"/>
                <w:szCs w:val="18"/>
              </w:rPr>
              <w:t>Toronto Community Housing</w:t>
            </w:r>
          </w:p>
        </w:tc>
      </w:tr>
      <w:tr w:rsidR="006774F4" w14:paraId="6CBBDD1F"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9691F7" w14:textId="77777777" w:rsidR="006774F4" w:rsidRDefault="006774F4" w:rsidP="00AA5586">
            <w:pPr>
              <w:spacing w:after="0" w:line="254" w:lineRule="auto"/>
              <w:jc w:val="center"/>
              <w:rPr>
                <w:b/>
                <w:sz w:val="18"/>
                <w:szCs w:val="18"/>
              </w:rPr>
            </w:pPr>
            <w:r>
              <w:rPr>
                <w:b/>
                <w:sz w:val="18"/>
                <w:szCs w:val="18"/>
              </w:rPr>
              <w:t>4</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C6A9429" w14:textId="77777777" w:rsidR="006774F4" w:rsidRDefault="006774F4" w:rsidP="00AA5586">
            <w:pPr>
              <w:spacing w:after="0" w:line="254" w:lineRule="auto"/>
              <w:jc w:val="center"/>
              <w:rPr>
                <w:sz w:val="18"/>
                <w:szCs w:val="18"/>
              </w:rPr>
            </w:pPr>
            <w:r>
              <w:rPr>
                <w:sz w:val="18"/>
                <w:szCs w:val="18"/>
              </w:rPr>
              <w:t>OAG Stanton</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FC2C428" w14:textId="77777777" w:rsidR="006774F4" w:rsidRDefault="006774F4" w:rsidP="00AA5586">
            <w:pPr>
              <w:spacing w:after="0" w:line="254" w:lineRule="auto"/>
              <w:jc w:val="center"/>
              <w:rPr>
                <w:sz w:val="18"/>
                <w:szCs w:val="18"/>
              </w:rPr>
            </w:pPr>
            <w:r>
              <w:rPr>
                <w:sz w:val="18"/>
                <w:szCs w:val="18"/>
              </w:rPr>
              <w:t>2024</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DEC1583" w14:textId="77777777" w:rsidR="006774F4" w:rsidRDefault="006774F4" w:rsidP="00AA5586">
            <w:pPr>
              <w:spacing w:after="0" w:line="254" w:lineRule="auto"/>
              <w:jc w:val="center"/>
              <w:rPr>
                <w:sz w:val="18"/>
                <w:szCs w:val="18"/>
              </w:rPr>
            </w:pPr>
            <w:proofErr w:type="spellStart"/>
            <w:r>
              <w:rPr>
                <w:sz w:val="18"/>
                <w:szCs w:val="18"/>
              </w:rPr>
              <w:t>Territoires</w:t>
            </w:r>
            <w:proofErr w:type="spellEnd"/>
            <w:r>
              <w:rPr>
                <w:sz w:val="18"/>
                <w:szCs w:val="18"/>
              </w:rPr>
              <w:t xml:space="preserve"> du Nord-Ouest</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5021A67" w14:textId="77777777" w:rsidR="006774F4" w:rsidRDefault="006774F4" w:rsidP="00AA5586">
            <w:pPr>
              <w:spacing w:after="0" w:line="254" w:lineRule="auto"/>
              <w:rPr>
                <w:sz w:val="18"/>
                <w:szCs w:val="18"/>
              </w:rPr>
            </w:pPr>
            <w:r>
              <w:rPr>
                <w:sz w:val="18"/>
                <w:szCs w:val="18"/>
                <w:lang w:val="fr-CA"/>
              </w:rPr>
              <w:t>Hôpital territorial Stanton</w:t>
            </w:r>
          </w:p>
        </w:tc>
      </w:tr>
      <w:tr w:rsidR="006774F4" w:rsidRPr="006774F4" w14:paraId="5A011A48"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1EEA44" w14:textId="77777777" w:rsidR="006774F4" w:rsidRDefault="006774F4" w:rsidP="00AA5586">
            <w:pPr>
              <w:spacing w:after="0" w:line="254" w:lineRule="auto"/>
              <w:jc w:val="center"/>
              <w:rPr>
                <w:b/>
                <w:sz w:val="18"/>
                <w:szCs w:val="18"/>
              </w:rPr>
            </w:pPr>
            <w:r>
              <w:rPr>
                <w:b/>
                <w:sz w:val="18"/>
                <w:szCs w:val="18"/>
              </w:rPr>
              <w:t>5</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0E2439" w14:textId="77777777" w:rsidR="006774F4" w:rsidRDefault="006774F4" w:rsidP="00AA5586">
            <w:pPr>
              <w:spacing w:after="0" w:line="254" w:lineRule="auto"/>
              <w:jc w:val="center"/>
              <w:rPr>
                <w:sz w:val="18"/>
                <w:szCs w:val="18"/>
              </w:rPr>
            </w:pPr>
            <w:r>
              <w:rPr>
                <w:sz w:val="18"/>
                <w:szCs w:val="18"/>
              </w:rPr>
              <w:t>FED-03</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905960" w14:textId="77777777" w:rsidR="006774F4" w:rsidRDefault="006774F4" w:rsidP="00AA5586">
            <w:pPr>
              <w:spacing w:after="0" w:line="254" w:lineRule="auto"/>
              <w:jc w:val="center"/>
              <w:rPr>
                <w:sz w:val="18"/>
                <w:szCs w:val="18"/>
              </w:rPr>
            </w:pPr>
            <w:r>
              <w:rPr>
                <w:sz w:val="18"/>
                <w:szCs w:val="18"/>
              </w:rPr>
              <w:t>2025</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C19A55" w14:textId="77777777" w:rsidR="006774F4" w:rsidRDefault="006774F4" w:rsidP="00AA5586">
            <w:pPr>
              <w:spacing w:after="0" w:line="254" w:lineRule="auto"/>
              <w:jc w:val="center"/>
              <w:rPr>
                <w:sz w:val="18"/>
                <w:szCs w:val="18"/>
              </w:rPr>
            </w:pPr>
            <w:r>
              <w:rPr>
                <w:sz w:val="18"/>
                <w:szCs w:val="18"/>
              </w:rPr>
              <w:t>Canada</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4A9349" w14:textId="77777777" w:rsidR="006774F4" w:rsidRPr="006774F4" w:rsidRDefault="006774F4" w:rsidP="00AA5586">
            <w:pPr>
              <w:spacing w:after="0" w:line="254" w:lineRule="auto"/>
              <w:rPr>
                <w:sz w:val="18"/>
                <w:szCs w:val="18"/>
                <w:lang w:val="fr-FR"/>
              </w:rPr>
            </w:pPr>
            <w:r>
              <w:rPr>
                <w:sz w:val="18"/>
                <w:szCs w:val="18"/>
                <w:lang w:val="fr-CA"/>
              </w:rPr>
              <w:t>Le portefeuille fédéral de locaux à bureaux</w:t>
            </w:r>
          </w:p>
        </w:tc>
      </w:tr>
      <w:tr w:rsidR="006774F4" w14:paraId="512CBADC"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5A0FEC" w14:textId="77777777" w:rsidR="006774F4" w:rsidRDefault="006774F4" w:rsidP="00AA5586">
            <w:pPr>
              <w:spacing w:after="0" w:line="254" w:lineRule="auto"/>
              <w:jc w:val="center"/>
              <w:rPr>
                <w:b/>
                <w:sz w:val="18"/>
                <w:szCs w:val="18"/>
              </w:rPr>
            </w:pPr>
            <w:r>
              <w:rPr>
                <w:b/>
                <w:sz w:val="18"/>
                <w:szCs w:val="18"/>
              </w:rPr>
              <w:lastRenderedPageBreak/>
              <w:t>6</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521D3C8" w14:textId="77777777" w:rsidR="006774F4" w:rsidRDefault="006774F4" w:rsidP="00AA5586">
            <w:pPr>
              <w:spacing w:after="0" w:line="254" w:lineRule="auto"/>
              <w:jc w:val="center"/>
              <w:rPr>
                <w:sz w:val="18"/>
                <w:szCs w:val="18"/>
              </w:rPr>
            </w:pPr>
            <w:r>
              <w:rPr>
                <w:sz w:val="18"/>
                <w:szCs w:val="18"/>
              </w:rPr>
              <w:t>VGQ REM</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DC69406" w14:textId="77777777" w:rsidR="006774F4" w:rsidRDefault="006774F4" w:rsidP="00AA5586">
            <w:pPr>
              <w:spacing w:after="0" w:line="254" w:lineRule="auto"/>
              <w:jc w:val="center"/>
              <w:rPr>
                <w:sz w:val="18"/>
                <w:szCs w:val="18"/>
              </w:rPr>
            </w:pPr>
            <w:r>
              <w:rPr>
                <w:sz w:val="18"/>
                <w:szCs w:val="18"/>
              </w:rPr>
              <w:t>2024</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6296108" w14:textId="77777777" w:rsidR="006774F4" w:rsidRDefault="006774F4" w:rsidP="00AA5586">
            <w:pPr>
              <w:spacing w:after="0" w:line="254" w:lineRule="auto"/>
              <w:jc w:val="center"/>
              <w:rPr>
                <w:sz w:val="18"/>
                <w:szCs w:val="18"/>
              </w:rPr>
            </w:pPr>
            <w:r>
              <w:rPr>
                <w:sz w:val="18"/>
                <w:szCs w:val="18"/>
                <w:lang w:val="fr-CA"/>
              </w:rPr>
              <w:t>Québec</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C7C21E2" w14:textId="77777777" w:rsidR="006774F4" w:rsidRDefault="006774F4" w:rsidP="00AA5586">
            <w:pPr>
              <w:spacing w:after="0" w:line="254" w:lineRule="auto"/>
              <w:rPr>
                <w:sz w:val="18"/>
                <w:szCs w:val="18"/>
              </w:rPr>
            </w:pPr>
            <w:r>
              <w:rPr>
                <w:sz w:val="18"/>
                <w:szCs w:val="18"/>
              </w:rPr>
              <w:t>Réseau express métropolitain</w:t>
            </w:r>
          </w:p>
        </w:tc>
      </w:tr>
      <w:tr w:rsidR="006774F4" w14:paraId="74D0CFFB"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096902" w14:textId="77777777" w:rsidR="006774F4" w:rsidRDefault="006774F4" w:rsidP="00AA5586">
            <w:pPr>
              <w:spacing w:after="0" w:line="254" w:lineRule="auto"/>
              <w:jc w:val="center"/>
              <w:rPr>
                <w:b/>
                <w:sz w:val="18"/>
                <w:szCs w:val="18"/>
              </w:rPr>
            </w:pPr>
            <w:r>
              <w:rPr>
                <w:b/>
                <w:sz w:val="18"/>
                <w:szCs w:val="18"/>
              </w:rPr>
              <w:t>7</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0E3875" w14:textId="77777777" w:rsidR="006774F4" w:rsidRDefault="006774F4" w:rsidP="00AA5586">
            <w:pPr>
              <w:spacing w:after="0" w:line="254" w:lineRule="auto"/>
              <w:jc w:val="center"/>
              <w:rPr>
                <w:sz w:val="18"/>
                <w:szCs w:val="18"/>
              </w:rPr>
            </w:pPr>
            <w:r>
              <w:rPr>
                <w:sz w:val="18"/>
                <w:szCs w:val="18"/>
              </w:rPr>
              <w:t>ON-25</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98CC53" w14:textId="77777777" w:rsidR="006774F4" w:rsidRDefault="006774F4" w:rsidP="00AA5586">
            <w:pPr>
              <w:spacing w:after="0" w:line="254" w:lineRule="auto"/>
              <w:jc w:val="center"/>
              <w:rPr>
                <w:sz w:val="18"/>
                <w:szCs w:val="18"/>
              </w:rPr>
            </w:pPr>
            <w:r>
              <w:rPr>
                <w:sz w:val="18"/>
                <w:szCs w:val="18"/>
              </w:rPr>
              <w:t>2025</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E3749B" w14:textId="77777777" w:rsidR="006774F4" w:rsidRDefault="006774F4" w:rsidP="00AA5586">
            <w:pPr>
              <w:spacing w:after="0" w:line="254" w:lineRule="auto"/>
              <w:jc w:val="center"/>
              <w:rPr>
                <w:sz w:val="18"/>
                <w:szCs w:val="18"/>
              </w:rPr>
            </w:pPr>
            <w:r>
              <w:rPr>
                <w:sz w:val="18"/>
                <w:szCs w:val="18"/>
                <w:lang w:val="fr-CA"/>
              </w:rPr>
              <w:t>Ville de Toronto</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FD19BA" w14:textId="77777777" w:rsidR="006774F4" w:rsidRDefault="006774F4" w:rsidP="00AA5586">
            <w:pPr>
              <w:spacing w:after="0" w:line="254" w:lineRule="auto"/>
              <w:rPr>
                <w:sz w:val="18"/>
                <w:szCs w:val="18"/>
              </w:rPr>
            </w:pPr>
            <w:r>
              <w:rPr>
                <w:sz w:val="18"/>
                <w:szCs w:val="18"/>
              </w:rPr>
              <w:t>Toronto Water</w:t>
            </w:r>
          </w:p>
        </w:tc>
      </w:tr>
      <w:tr w:rsidR="006774F4" w:rsidRPr="006774F4" w14:paraId="43CE1B1D"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9C7C11B" w14:textId="77777777" w:rsidR="006774F4" w:rsidRDefault="006774F4" w:rsidP="00AA5586">
            <w:pPr>
              <w:spacing w:after="0" w:line="254" w:lineRule="auto"/>
              <w:jc w:val="center"/>
              <w:rPr>
                <w:b/>
                <w:sz w:val="18"/>
                <w:szCs w:val="18"/>
              </w:rPr>
            </w:pPr>
            <w:r>
              <w:rPr>
                <w:b/>
                <w:sz w:val="18"/>
                <w:szCs w:val="18"/>
              </w:rPr>
              <w:t>8</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F47D218" w14:textId="77777777" w:rsidR="006774F4" w:rsidRDefault="006774F4" w:rsidP="00AA5586">
            <w:pPr>
              <w:spacing w:after="0" w:line="254" w:lineRule="auto"/>
              <w:jc w:val="center"/>
              <w:rPr>
                <w:sz w:val="18"/>
                <w:szCs w:val="18"/>
              </w:rPr>
            </w:pPr>
            <w:r>
              <w:rPr>
                <w:sz w:val="18"/>
                <w:szCs w:val="18"/>
              </w:rPr>
              <w:t>AG NS sch</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153BFC8" w14:textId="77777777" w:rsidR="006774F4" w:rsidRDefault="006774F4" w:rsidP="00AA5586">
            <w:pPr>
              <w:spacing w:after="0" w:line="254" w:lineRule="auto"/>
              <w:jc w:val="center"/>
              <w:rPr>
                <w:sz w:val="18"/>
                <w:szCs w:val="18"/>
              </w:rPr>
            </w:pPr>
            <w:r>
              <w:rPr>
                <w:sz w:val="18"/>
                <w:szCs w:val="18"/>
              </w:rPr>
              <w:t>2025</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F1260F" w14:textId="77777777" w:rsidR="006774F4" w:rsidRDefault="006774F4" w:rsidP="00AA5586">
            <w:pPr>
              <w:spacing w:after="0" w:line="254" w:lineRule="auto"/>
              <w:jc w:val="center"/>
              <w:rPr>
                <w:sz w:val="18"/>
                <w:szCs w:val="18"/>
              </w:rPr>
            </w:pPr>
            <w:r>
              <w:rPr>
                <w:sz w:val="18"/>
                <w:szCs w:val="18"/>
                <w:lang w:val="fr-CA"/>
              </w:rPr>
              <w:t>Nouvelle-Écosse</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24DF573" w14:textId="77777777" w:rsidR="006774F4" w:rsidRPr="006774F4" w:rsidRDefault="006774F4" w:rsidP="00AA5586">
            <w:pPr>
              <w:spacing w:after="0" w:line="254" w:lineRule="auto"/>
              <w:rPr>
                <w:sz w:val="18"/>
                <w:szCs w:val="18"/>
                <w:lang w:val="fr-FR"/>
              </w:rPr>
            </w:pPr>
            <w:r>
              <w:rPr>
                <w:sz w:val="18"/>
                <w:szCs w:val="18"/>
                <w:lang w:val="fr-CA"/>
              </w:rPr>
              <w:t>Planification des immobilisations scolaires en Nouvelle-Écosse</w:t>
            </w:r>
          </w:p>
        </w:tc>
      </w:tr>
      <w:tr w:rsidR="006774F4" w:rsidRPr="006774F4" w14:paraId="3E4986D0"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F2F54F" w14:textId="77777777" w:rsidR="006774F4" w:rsidRDefault="006774F4" w:rsidP="00AA5586">
            <w:pPr>
              <w:spacing w:after="0" w:line="254" w:lineRule="auto"/>
              <w:jc w:val="center"/>
              <w:rPr>
                <w:b/>
                <w:sz w:val="18"/>
                <w:szCs w:val="18"/>
              </w:rPr>
            </w:pPr>
            <w:r>
              <w:rPr>
                <w:b/>
                <w:sz w:val="18"/>
                <w:szCs w:val="18"/>
              </w:rPr>
              <w:t>9</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B9C65F" w14:textId="77777777" w:rsidR="006774F4" w:rsidRDefault="006774F4" w:rsidP="00AA5586">
            <w:pPr>
              <w:spacing w:after="0" w:line="254" w:lineRule="auto"/>
              <w:jc w:val="center"/>
              <w:rPr>
                <w:sz w:val="18"/>
                <w:szCs w:val="18"/>
              </w:rPr>
            </w:pPr>
            <w:r>
              <w:rPr>
                <w:sz w:val="18"/>
                <w:szCs w:val="18"/>
              </w:rPr>
              <w:t>WEST-08</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FBE8D9" w14:textId="77777777" w:rsidR="006774F4" w:rsidRDefault="006774F4" w:rsidP="00AA5586">
            <w:pPr>
              <w:spacing w:after="0" w:line="254" w:lineRule="auto"/>
              <w:jc w:val="center"/>
              <w:rPr>
                <w:sz w:val="18"/>
                <w:szCs w:val="18"/>
              </w:rPr>
            </w:pPr>
            <w:r>
              <w:rPr>
                <w:sz w:val="18"/>
                <w:szCs w:val="18"/>
              </w:rPr>
              <w:t>2022</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20D1D4" w14:textId="77777777" w:rsidR="006774F4" w:rsidRDefault="006774F4" w:rsidP="00AA5586">
            <w:pPr>
              <w:spacing w:after="0" w:line="254" w:lineRule="auto"/>
              <w:jc w:val="center"/>
              <w:rPr>
                <w:sz w:val="18"/>
                <w:szCs w:val="18"/>
              </w:rPr>
            </w:pPr>
            <w:r>
              <w:rPr>
                <w:sz w:val="18"/>
                <w:szCs w:val="18"/>
                <w:lang w:val="fr-CA"/>
              </w:rPr>
              <w:t>Colombie-Britannique</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1E9BBD" w14:textId="77777777" w:rsidR="006774F4" w:rsidRPr="006774F4" w:rsidRDefault="006774F4" w:rsidP="00AA5586">
            <w:pPr>
              <w:spacing w:after="0" w:line="254" w:lineRule="auto"/>
              <w:rPr>
                <w:sz w:val="18"/>
                <w:szCs w:val="18"/>
                <w:lang w:val="fr-FR"/>
              </w:rPr>
            </w:pPr>
            <w:r>
              <w:rPr>
                <w:sz w:val="18"/>
                <w:szCs w:val="18"/>
                <w:lang w:val="fr-CA"/>
              </w:rPr>
              <w:t>Projet d’énergie propre du Site C</w:t>
            </w:r>
          </w:p>
        </w:tc>
      </w:tr>
      <w:tr w:rsidR="006774F4" w14:paraId="48E1F4E2"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5C5BBCC" w14:textId="77777777" w:rsidR="006774F4" w:rsidRDefault="006774F4" w:rsidP="00AA5586">
            <w:pPr>
              <w:spacing w:after="0" w:line="254" w:lineRule="auto"/>
              <w:jc w:val="center"/>
              <w:rPr>
                <w:b/>
                <w:sz w:val="18"/>
                <w:szCs w:val="18"/>
              </w:rPr>
            </w:pPr>
            <w:r>
              <w:rPr>
                <w:b/>
                <w:sz w:val="18"/>
                <w:szCs w:val="18"/>
              </w:rPr>
              <w:t>10</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C2399B" w14:textId="77777777" w:rsidR="006774F4" w:rsidRDefault="006774F4" w:rsidP="00AA5586">
            <w:pPr>
              <w:spacing w:after="0" w:line="254" w:lineRule="auto"/>
              <w:jc w:val="center"/>
              <w:rPr>
                <w:sz w:val="18"/>
                <w:szCs w:val="18"/>
              </w:rPr>
            </w:pPr>
            <w:r>
              <w:rPr>
                <w:sz w:val="18"/>
                <w:szCs w:val="18"/>
              </w:rPr>
              <w:t>WEST-11</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28C781" w14:textId="77777777" w:rsidR="006774F4" w:rsidRDefault="006774F4" w:rsidP="00AA5586">
            <w:pPr>
              <w:spacing w:after="0" w:line="254" w:lineRule="auto"/>
              <w:jc w:val="center"/>
              <w:rPr>
                <w:sz w:val="18"/>
                <w:szCs w:val="18"/>
              </w:rPr>
            </w:pPr>
            <w:r>
              <w:rPr>
                <w:sz w:val="18"/>
                <w:szCs w:val="18"/>
              </w:rPr>
              <w:t>2020</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7A4B53" w14:textId="77777777" w:rsidR="006774F4" w:rsidRDefault="006774F4" w:rsidP="00AA5586">
            <w:pPr>
              <w:spacing w:after="0" w:line="254" w:lineRule="auto"/>
              <w:jc w:val="center"/>
              <w:rPr>
                <w:sz w:val="18"/>
                <w:szCs w:val="18"/>
              </w:rPr>
            </w:pPr>
            <w:r>
              <w:rPr>
                <w:sz w:val="18"/>
                <w:szCs w:val="18"/>
              </w:rPr>
              <w:t>Alberta</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0A8701E" w14:textId="77777777" w:rsidR="006774F4" w:rsidRDefault="006774F4" w:rsidP="00AA5586">
            <w:pPr>
              <w:spacing w:after="0" w:line="254" w:lineRule="auto"/>
              <w:rPr>
                <w:sz w:val="18"/>
                <w:szCs w:val="18"/>
              </w:rPr>
            </w:pPr>
            <w:r>
              <w:rPr>
                <w:sz w:val="18"/>
                <w:szCs w:val="18"/>
                <w:lang w:val="fr-CA"/>
              </w:rPr>
              <w:t>Centre de soins continus Willow Square</w:t>
            </w:r>
          </w:p>
        </w:tc>
      </w:tr>
      <w:tr w:rsidR="006774F4" w:rsidRPr="006774F4" w14:paraId="1CFED389"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7C4E9B" w14:textId="77777777" w:rsidR="006774F4" w:rsidRDefault="006774F4" w:rsidP="00AA5586">
            <w:pPr>
              <w:spacing w:after="0" w:line="254" w:lineRule="auto"/>
              <w:jc w:val="center"/>
              <w:rPr>
                <w:b/>
                <w:sz w:val="18"/>
                <w:szCs w:val="18"/>
              </w:rPr>
            </w:pPr>
            <w:r>
              <w:rPr>
                <w:b/>
                <w:sz w:val="18"/>
                <w:szCs w:val="18"/>
              </w:rPr>
              <w:t>11</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E0553D" w14:textId="77777777" w:rsidR="006774F4" w:rsidRDefault="006774F4" w:rsidP="00AA5586">
            <w:pPr>
              <w:spacing w:after="0" w:line="254" w:lineRule="auto"/>
              <w:jc w:val="center"/>
              <w:rPr>
                <w:sz w:val="18"/>
                <w:szCs w:val="18"/>
              </w:rPr>
            </w:pPr>
            <w:r>
              <w:rPr>
                <w:sz w:val="18"/>
                <w:szCs w:val="18"/>
              </w:rPr>
              <w:t>ON-14</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33098E" w14:textId="77777777" w:rsidR="006774F4" w:rsidRDefault="006774F4" w:rsidP="00AA5586">
            <w:pPr>
              <w:spacing w:after="0" w:line="254" w:lineRule="auto"/>
              <w:jc w:val="center"/>
              <w:rPr>
                <w:sz w:val="18"/>
                <w:szCs w:val="18"/>
              </w:rPr>
            </w:pPr>
            <w:r>
              <w:rPr>
                <w:sz w:val="18"/>
                <w:szCs w:val="18"/>
              </w:rPr>
              <w:t>2021</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028B4A" w14:textId="77777777" w:rsidR="006774F4" w:rsidRDefault="006774F4" w:rsidP="00AA5586">
            <w:pPr>
              <w:spacing w:after="0" w:line="254" w:lineRule="auto"/>
              <w:jc w:val="center"/>
              <w:rPr>
                <w:sz w:val="18"/>
                <w:szCs w:val="18"/>
              </w:rPr>
            </w:pPr>
            <w:r>
              <w:rPr>
                <w:sz w:val="18"/>
                <w:szCs w:val="18"/>
              </w:rPr>
              <w:t>Ontario</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A675B7" w14:textId="77777777" w:rsidR="006774F4" w:rsidRPr="006774F4" w:rsidRDefault="006774F4" w:rsidP="00AA5586">
            <w:pPr>
              <w:spacing w:after="0" w:line="254" w:lineRule="auto"/>
              <w:rPr>
                <w:sz w:val="18"/>
                <w:szCs w:val="18"/>
                <w:lang w:val="fr-FR"/>
              </w:rPr>
            </w:pPr>
            <w:r>
              <w:rPr>
                <w:sz w:val="18"/>
                <w:szCs w:val="18"/>
                <w:lang w:val="fr-CA"/>
              </w:rPr>
              <w:t>Ponts et ponceaux de l’Ontario</w:t>
            </w:r>
          </w:p>
        </w:tc>
      </w:tr>
      <w:tr w:rsidR="006774F4" w14:paraId="4677786E"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05F161" w14:textId="77777777" w:rsidR="006774F4" w:rsidRDefault="006774F4" w:rsidP="00AA5586">
            <w:pPr>
              <w:spacing w:after="0" w:line="254" w:lineRule="auto"/>
              <w:jc w:val="center"/>
              <w:rPr>
                <w:b/>
                <w:sz w:val="18"/>
                <w:szCs w:val="18"/>
              </w:rPr>
            </w:pPr>
            <w:r>
              <w:rPr>
                <w:b/>
                <w:sz w:val="18"/>
                <w:szCs w:val="18"/>
              </w:rPr>
              <w:t>12</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0A026F" w14:textId="77777777" w:rsidR="006774F4" w:rsidRDefault="006774F4" w:rsidP="00AA5586">
            <w:pPr>
              <w:spacing w:after="0" w:line="254" w:lineRule="auto"/>
              <w:jc w:val="center"/>
              <w:rPr>
                <w:sz w:val="18"/>
                <w:szCs w:val="18"/>
              </w:rPr>
            </w:pPr>
            <w:r>
              <w:rPr>
                <w:sz w:val="18"/>
                <w:szCs w:val="18"/>
              </w:rPr>
              <w:t>FED-17</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0C4141" w14:textId="77777777" w:rsidR="006774F4" w:rsidRDefault="006774F4" w:rsidP="00AA5586">
            <w:pPr>
              <w:spacing w:after="0" w:line="254" w:lineRule="auto"/>
              <w:jc w:val="center"/>
              <w:rPr>
                <w:sz w:val="18"/>
                <w:szCs w:val="18"/>
              </w:rPr>
            </w:pPr>
            <w:r>
              <w:rPr>
                <w:sz w:val="18"/>
                <w:szCs w:val="18"/>
              </w:rPr>
              <w:t>2024</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A3027CA" w14:textId="77777777" w:rsidR="006774F4" w:rsidRDefault="006774F4" w:rsidP="00AA5586">
            <w:pPr>
              <w:spacing w:after="0" w:line="254" w:lineRule="auto"/>
              <w:jc w:val="center"/>
              <w:rPr>
                <w:sz w:val="18"/>
                <w:szCs w:val="18"/>
              </w:rPr>
            </w:pPr>
            <w:r>
              <w:rPr>
                <w:sz w:val="18"/>
                <w:szCs w:val="18"/>
              </w:rPr>
              <w:t>Canada</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4734DAB" w14:textId="77777777" w:rsidR="006774F4" w:rsidRDefault="006774F4" w:rsidP="00AA5586">
            <w:pPr>
              <w:spacing w:after="0" w:line="254" w:lineRule="auto"/>
              <w:rPr>
                <w:sz w:val="18"/>
                <w:szCs w:val="18"/>
              </w:rPr>
            </w:pPr>
            <w:r>
              <w:rPr>
                <w:sz w:val="18"/>
                <w:szCs w:val="18"/>
                <w:lang w:val="fr-CA"/>
              </w:rPr>
              <w:t>Infrastructures de la Défense</w:t>
            </w:r>
          </w:p>
        </w:tc>
      </w:tr>
      <w:tr w:rsidR="006774F4" w14:paraId="7C368DF2"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53EF98" w14:textId="77777777" w:rsidR="006774F4" w:rsidRDefault="006774F4" w:rsidP="00AA5586">
            <w:pPr>
              <w:spacing w:after="0" w:line="254" w:lineRule="auto"/>
              <w:jc w:val="center"/>
              <w:rPr>
                <w:b/>
                <w:sz w:val="18"/>
                <w:szCs w:val="18"/>
              </w:rPr>
            </w:pPr>
            <w:r>
              <w:rPr>
                <w:b/>
                <w:sz w:val="18"/>
                <w:szCs w:val="18"/>
              </w:rPr>
              <w:t>13</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BA00A" w14:textId="77777777" w:rsidR="006774F4" w:rsidRDefault="006774F4" w:rsidP="00AA5586">
            <w:pPr>
              <w:spacing w:after="0" w:line="254" w:lineRule="auto"/>
              <w:jc w:val="center"/>
              <w:rPr>
                <w:sz w:val="18"/>
                <w:szCs w:val="18"/>
              </w:rPr>
            </w:pPr>
            <w:r>
              <w:rPr>
                <w:sz w:val="18"/>
                <w:szCs w:val="18"/>
              </w:rPr>
              <w:t>Muskrat Falls</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D7895B" w14:textId="77777777" w:rsidR="006774F4" w:rsidRDefault="006774F4" w:rsidP="00AA5586">
            <w:pPr>
              <w:spacing w:after="0" w:line="254" w:lineRule="auto"/>
              <w:jc w:val="center"/>
              <w:rPr>
                <w:sz w:val="18"/>
                <w:szCs w:val="18"/>
              </w:rPr>
            </w:pPr>
            <w:r>
              <w:rPr>
                <w:sz w:val="18"/>
                <w:szCs w:val="18"/>
              </w:rPr>
              <w:t>2020</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BD4D37" w14:textId="77777777" w:rsidR="006774F4" w:rsidRDefault="006774F4" w:rsidP="00AA5586">
            <w:pPr>
              <w:spacing w:after="0" w:line="254" w:lineRule="auto"/>
              <w:jc w:val="center"/>
              <w:rPr>
                <w:sz w:val="18"/>
                <w:szCs w:val="18"/>
              </w:rPr>
            </w:pPr>
            <w:r>
              <w:rPr>
                <w:sz w:val="18"/>
                <w:szCs w:val="18"/>
                <w:lang w:val="fr-CA"/>
              </w:rPr>
              <w:t>Terre-Neuve-et-Labrador</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47F2B2" w14:textId="77777777" w:rsidR="006774F4" w:rsidRDefault="006774F4" w:rsidP="00AA5586">
            <w:pPr>
              <w:spacing w:after="0" w:line="254" w:lineRule="auto"/>
              <w:rPr>
                <w:sz w:val="18"/>
                <w:szCs w:val="18"/>
              </w:rPr>
            </w:pPr>
            <w:r>
              <w:rPr>
                <w:sz w:val="18"/>
                <w:szCs w:val="18"/>
              </w:rPr>
              <w:t>Muskrat Falls</w:t>
            </w:r>
          </w:p>
        </w:tc>
      </w:tr>
      <w:tr w:rsidR="006774F4" w:rsidRPr="006774F4" w14:paraId="410DA8EA"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3F083B6" w14:textId="77777777" w:rsidR="006774F4" w:rsidRDefault="006774F4" w:rsidP="00AA5586">
            <w:pPr>
              <w:spacing w:after="0" w:line="254" w:lineRule="auto"/>
              <w:jc w:val="center"/>
              <w:rPr>
                <w:b/>
                <w:sz w:val="18"/>
                <w:szCs w:val="18"/>
              </w:rPr>
            </w:pPr>
            <w:r>
              <w:rPr>
                <w:b/>
                <w:sz w:val="18"/>
                <w:szCs w:val="18"/>
              </w:rPr>
              <w:t>14</w:t>
            </w:r>
          </w:p>
        </w:tc>
        <w:tc>
          <w:tcPr>
            <w:tcW w:w="16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CF9AE44" w14:textId="77777777" w:rsidR="006774F4" w:rsidRDefault="006774F4" w:rsidP="00AA5586">
            <w:pPr>
              <w:spacing w:after="0" w:line="254" w:lineRule="auto"/>
              <w:jc w:val="center"/>
              <w:rPr>
                <w:sz w:val="18"/>
                <w:szCs w:val="18"/>
              </w:rPr>
            </w:pPr>
            <w:r>
              <w:rPr>
                <w:sz w:val="18"/>
                <w:szCs w:val="18"/>
              </w:rPr>
              <w:t>WEST-20</w:t>
            </w:r>
          </w:p>
        </w:tc>
        <w:tc>
          <w:tcPr>
            <w:tcW w:w="106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19F35AE" w14:textId="77777777" w:rsidR="006774F4" w:rsidRDefault="006774F4" w:rsidP="00AA5586">
            <w:pPr>
              <w:spacing w:after="0" w:line="254" w:lineRule="auto"/>
              <w:jc w:val="center"/>
              <w:rPr>
                <w:sz w:val="18"/>
                <w:szCs w:val="18"/>
              </w:rPr>
            </w:pPr>
            <w:r>
              <w:rPr>
                <w:sz w:val="18"/>
                <w:szCs w:val="18"/>
              </w:rPr>
              <w:t>2020</w:t>
            </w:r>
          </w:p>
        </w:tc>
        <w:tc>
          <w:tcPr>
            <w:tcW w:w="20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3DB18EB" w14:textId="77777777" w:rsidR="006774F4" w:rsidRDefault="006774F4" w:rsidP="00AA5586">
            <w:pPr>
              <w:spacing w:after="0" w:line="254" w:lineRule="auto"/>
              <w:jc w:val="center"/>
              <w:rPr>
                <w:sz w:val="18"/>
                <w:szCs w:val="18"/>
              </w:rPr>
            </w:pPr>
            <w:r>
              <w:rPr>
                <w:sz w:val="18"/>
                <w:szCs w:val="18"/>
              </w:rPr>
              <w:t>Saskatchewan</w:t>
            </w:r>
          </w:p>
        </w:tc>
        <w:tc>
          <w:tcPr>
            <w:tcW w:w="48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57DEDE" w14:textId="77777777" w:rsidR="006774F4" w:rsidRPr="006774F4" w:rsidRDefault="006774F4" w:rsidP="00AA5586">
            <w:pPr>
              <w:spacing w:after="0" w:line="254" w:lineRule="auto"/>
              <w:rPr>
                <w:sz w:val="18"/>
                <w:szCs w:val="18"/>
                <w:lang w:val="fr-FR"/>
              </w:rPr>
            </w:pPr>
            <w:r>
              <w:rPr>
                <w:sz w:val="18"/>
                <w:szCs w:val="18"/>
                <w:lang w:val="fr-CA"/>
              </w:rPr>
              <w:t xml:space="preserve">Unités 4 et 5 de </w:t>
            </w:r>
            <w:proofErr w:type="spellStart"/>
            <w:r>
              <w:rPr>
                <w:sz w:val="18"/>
                <w:szCs w:val="18"/>
                <w:lang w:val="fr-CA"/>
              </w:rPr>
              <w:t>Boundary</w:t>
            </w:r>
            <w:proofErr w:type="spellEnd"/>
            <w:r>
              <w:rPr>
                <w:sz w:val="18"/>
                <w:szCs w:val="18"/>
                <w:lang w:val="fr-CA"/>
              </w:rPr>
              <w:t xml:space="preserve"> Dam</w:t>
            </w:r>
          </w:p>
        </w:tc>
      </w:tr>
      <w:tr w:rsidR="006774F4" w14:paraId="78F06F7B" w14:textId="77777777" w:rsidTr="00AA5586">
        <w:trPr>
          <w:cantSplit/>
          <w:trHeight w:val="600"/>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15F0AD" w14:textId="77777777" w:rsidR="006774F4" w:rsidRDefault="006774F4" w:rsidP="00AA5586">
            <w:pPr>
              <w:spacing w:after="0" w:line="254" w:lineRule="auto"/>
              <w:jc w:val="center"/>
              <w:rPr>
                <w:b/>
                <w:sz w:val="18"/>
                <w:szCs w:val="18"/>
              </w:rPr>
            </w:pPr>
            <w:r>
              <w:rPr>
                <w:b/>
                <w:sz w:val="18"/>
                <w:szCs w:val="18"/>
              </w:rPr>
              <w:t>15</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BEE442" w14:textId="77777777" w:rsidR="006774F4" w:rsidRDefault="006774F4" w:rsidP="00AA5586">
            <w:pPr>
              <w:spacing w:after="0" w:line="254" w:lineRule="auto"/>
              <w:jc w:val="center"/>
              <w:rPr>
                <w:sz w:val="18"/>
                <w:szCs w:val="18"/>
              </w:rPr>
            </w:pPr>
            <w:r>
              <w:rPr>
                <w:sz w:val="18"/>
                <w:szCs w:val="18"/>
              </w:rPr>
              <w:t>OAG Public</w:t>
            </w:r>
          </w:p>
        </w:tc>
        <w:tc>
          <w:tcPr>
            <w:tcW w:w="10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476F6C" w14:textId="77777777" w:rsidR="006774F4" w:rsidRDefault="006774F4" w:rsidP="00AA5586">
            <w:pPr>
              <w:spacing w:after="0" w:line="254" w:lineRule="auto"/>
              <w:jc w:val="center"/>
              <w:rPr>
                <w:sz w:val="18"/>
                <w:szCs w:val="18"/>
              </w:rPr>
            </w:pPr>
            <w:r>
              <w:rPr>
                <w:sz w:val="18"/>
                <w:szCs w:val="18"/>
              </w:rPr>
              <w:t>2025</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8A6BF5" w14:textId="77777777" w:rsidR="006774F4" w:rsidRDefault="006774F4" w:rsidP="00AA5586">
            <w:pPr>
              <w:spacing w:after="0" w:line="254" w:lineRule="auto"/>
              <w:jc w:val="center"/>
              <w:rPr>
                <w:sz w:val="18"/>
                <w:szCs w:val="18"/>
              </w:rPr>
            </w:pPr>
            <w:r>
              <w:rPr>
                <w:sz w:val="18"/>
                <w:szCs w:val="18"/>
              </w:rPr>
              <w:t>Nunavut</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5C7B3B" w14:textId="77777777" w:rsidR="006774F4" w:rsidRDefault="006774F4" w:rsidP="00AA5586">
            <w:pPr>
              <w:spacing w:after="0" w:line="254" w:lineRule="auto"/>
              <w:rPr>
                <w:sz w:val="18"/>
                <w:szCs w:val="18"/>
              </w:rPr>
            </w:pPr>
            <w:r>
              <w:rPr>
                <w:sz w:val="18"/>
                <w:szCs w:val="18"/>
                <w:lang w:val="fr-CA"/>
              </w:rPr>
              <w:t>Logements sociaux au Nunavut</w:t>
            </w:r>
          </w:p>
        </w:tc>
      </w:tr>
    </w:tbl>
    <w:p w14:paraId="3AF1B4D9" w14:textId="77777777" w:rsidR="006774F4" w:rsidRDefault="006774F4" w:rsidP="006774F4">
      <w:pPr>
        <w:rPr>
          <w:b/>
          <w:bCs/>
          <w:color w:val="1B3A6B"/>
          <w:sz w:val="28"/>
          <w:szCs w:val="28"/>
        </w:rPr>
      </w:pPr>
    </w:p>
    <w:p w14:paraId="65B3C9B6" w14:textId="77777777" w:rsidR="006774F4" w:rsidRPr="006774F4" w:rsidRDefault="006774F4" w:rsidP="006774F4">
      <w:pPr>
        <w:pStyle w:val="Heading1"/>
        <w:rPr>
          <w:b/>
          <w:bCs/>
          <w:lang w:val="fr-FR"/>
        </w:rPr>
      </w:pPr>
      <w:bookmarkStart w:id="17" w:name="__RefHeading___Toc4771_3048004937"/>
      <w:bookmarkStart w:id="18" w:name="_Toc239750652"/>
      <w:bookmarkEnd w:id="17"/>
      <w:r>
        <w:rPr>
          <w:b/>
          <w:bCs/>
          <w:lang w:val="fr-CA"/>
        </w:rPr>
        <w:t>Cas 1.  Train léger d’Ottawa, étape 1</w:t>
      </w:r>
      <w:bookmarkEnd w:id="18"/>
    </w:p>
    <w:p w14:paraId="3D4E4600"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35F885F5" w14:textId="77777777" w:rsidTr="00AA5586">
        <w:trPr>
          <w:cantSplit/>
        </w:trPr>
        <w:tc>
          <w:tcPr>
            <w:tcW w:w="2700" w:type="dxa"/>
            <w:tcBorders>
              <w:bottom w:val="single" w:sz="4" w:space="0" w:color="000000"/>
            </w:tcBorders>
            <w:shd w:val="clear" w:color="auto" w:fill="E2E8F0"/>
          </w:tcPr>
          <w:p w14:paraId="7EE043A4"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tcPr>
          <w:p w14:paraId="7C8FDC04" w14:textId="77777777" w:rsidR="006774F4" w:rsidRDefault="006774F4" w:rsidP="00AA5586">
            <w:pPr>
              <w:spacing w:after="0" w:line="254" w:lineRule="auto"/>
              <w:rPr>
                <w:b/>
                <w:bCs/>
                <w:sz w:val="19"/>
                <w:szCs w:val="19"/>
              </w:rPr>
            </w:pPr>
            <w:r>
              <w:rPr>
                <w:b/>
                <w:bCs/>
                <w:sz w:val="19"/>
                <w:szCs w:val="19"/>
              </w:rPr>
              <w:t>ON-21</w:t>
            </w:r>
          </w:p>
        </w:tc>
      </w:tr>
      <w:tr w:rsidR="006774F4" w:rsidRPr="007B50E3" w14:paraId="1162C29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A37CF43"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A170D36" w14:textId="77777777" w:rsidR="006774F4" w:rsidRPr="006774F4" w:rsidRDefault="006774F4" w:rsidP="00AA5586">
            <w:pPr>
              <w:spacing w:after="0" w:line="254" w:lineRule="auto"/>
              <w:rPr>
                <w:lang w:val="fr-FR"/>
              </w:rPr>
            </w:pPr>
            <w:r>
              <w:rPr>
                <w:sz w:val="19"/>
                <w:szCs w:val="19"/>
                <w:lang w:val="fr-CA"/>
              </w:rPr>
              <w:t xml:space="preserve">Ontario et Ville </w:t>
            </w:r>
            <w:proofErr w:type="gramStart"/>
            <w:r>
              <w:rPr>
                <w:sz w:val="19"/>
                <w:szCs w:val="19"/>
                <w:lang w:val="fr-CA"/>
              </w:rPr>
              <w:t>d’Ottawa  ·</w:t>
            </w:r>
            <w:proofErr w:type="gramEnd"/>
            <w:r>
              <w:rPr>
                <w:sz w:val="19"/>
                <w:szCs w:val="19"/>
                <w:lang w:val="fr-CA"/>
              </w:rPr>
              <w:t xml:space="preserve">  Enquête publique provinciale</w:t>
            </w:r>
          </w:p>
        </w:tc>
      </w:tr>
      <w:tr w:rsidR="006774F4" w:rsidRPr="006774F4" w14:paraId="62B1D92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4CFB289"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F00F487" w14:textId="77777777" w:rsidR="006774F4" w:rsidRPr="006774F4" w:rsidRDefault="006774F4" w:rsidP="00AA5586">
            <w:pPr>
              <w:spacing w:after="0" w:line="254" w:lineRule="auto"/>
              <w:rPr>
                <w:lang w:val="fr-FR"/>
              </w:rPr>
            </w:pPr>
            <w:r>
              <w:rPr>
                <w:sz w:val="19"/>
                <w:szCs w:val="19"/>
                <w:lang w:val="fr-CA"/>
              </w:rPr>
              <w:t>Commission d’enquête publique sur le train léger d’Ottawa, commissaire l’honorable William Hourigan</w:t>
            </w:r>
          </w:p>
        </w:tc>
      </w:tr>
      <w:tr w:rsidR="006774F4" w:rsidRPr="006774F4" w14:paraId="0064433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BE5702F"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C0D96F1" w14:textId="77777777" w:rsidR="006774F4" w:rsidRPr="006774F4" w:rsidRDefault="006774F4" w:rsidP="00AA5586">
            <w:pPr>
              <w:spacing w:after="0" w:line="254" w:lineRule="auto"/>
              <w:rPr>
                <w:lang w:val="fr-FR"/>
              </w:rPr>
            </w:pPr>
            <w:r>
              <w:rPr>
                <w:sz w:val="19"/>
                <w:szCs w:val="19"/>
                <w:lang w:val="fr-CA"/>
              </w:rPr>
              <w:t>Rapport de la Commission d’enquête publique sur le train léger d’Ottawa, 2022</w:t>
            </w:r>
          </w:p>
        </w:tc>
      </w:tr>
      <w:tr w:rsidR="006774F4" w14:paraId="238BCD1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17265A7"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CB269A6" w14:textId="77777777" w:rsidR="006774F4" w:rsidRDefault="006774F4" w:rsidP="00AA5586">
            <w:pPr>
              <w:spacing w:after="0" w:line="254" w:lineRule="auto"/>
            </w:pPr>
            <w:r>
              <w:rPr>
                <w:sz w:val="19"/>
                <w:szCs w:val="19"/>
                <w:lang w:val="fr-CA"/>
              </w:rPr>
              <w:t>Transport collectif, train léger</w:t>
            </w:r>
          </w:p>
        </w:tc>
      </w:tr>
      <w:tr w:rsidR="006774F4" w:rsidRPr="006774F4" w14:paraId="5AE4FE7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5479F48"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7B66246" w14:textId="77777777" w:rsidR="006774F4" w:rsidRPr="006774F4" w:rsidRDefault="006774F4" w:rsidP="00AA5586">
            <w:pPr>
              <w:spacing w:after="0" w:line="254" w:lineRule="auto"/>
              <w:rPr>
                <w:lang w:val="fr-FR"/>
              </w:rPr>
            </w:pPr>
            <w:r>
              <w:rPr>
                <w:sz w:val="19"/>
                <w:szCs w:val="19"/>
                <w:lang w:val="fr-CA"/>
              </w:rPr>
              <w:t>Contrat DBFM à prix fixe de 2,1 milliards de dollars</w:t>
            </w:r>
          </w:p>
        </w:tc>
      </w:tr>
      <w:tr w:rsidR="006774F4" w:rsidRPr="006774F4" w14:paraId="5579FDA2"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E029EFB" w14:textId="77777777" w:rsidR="006774F4" w:rsidRDefault="006774F4" w:rsidP="00AA5586">
            <w:pPr>
              <w:spacing w:after="0" w:line="254" w:lineRule="auto"/>
              <w:jc w:val="center"/>
            </w:pPr>
            <w:r>
              <w:rPr>
                <w:b/>
                <w:bCs/>
                <w:color w:val="1B3A6B"/>
                <w:sz w:val="19"/>
                <w:szCs w:val="19"/>
                <w:lang w:val="fr-CA"/>
              </w:rPr>
              <w:lastRenderedPageBreak/>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599B9CE" w14:textId="77777777" w:rsidR="006774F4" w:rsidRPr="006774F4" w:rsidRDefault="006774F4" w:rsidP="00AA5586">
            <w:pPr>
              <w:spacing w:after="0" w:line="254" w:lineRule="auto"/>
              <w:rPr>
                <w:lang w:val="fr-FR"/>
              </w:rPr>
            </w:pPr>
            <w:r>
              <w:rPr>
                <w:sz w:val="19"/>
                <w:szCs w:val="19"/>
                <w:lang w:val="fr-CA"/>
              </w:rPr>
              <w:t>Non quantifié dans le sommaire en pourcentage de dépassement</w:t>
            </w:r>
          </w:p>
        </w:tc>
      </w:tr>
      <w:tr w:rsidR="006774F4" w:rsidRPr="006774F4" w14:paraId="0353C32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4041BF9"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CB1FD6A" w14:textId="77777777" w:rsidR="006774F4" w:rsidRPr="006774F4" w:rsidRDefault="006774F4" w:rsidP="00AA5586">
            <w:pPr>
              <w:spacing w:after="0" w:line="254" w:lineRule="auto"/>
              <w:rPr>
                <w:lang w:val="fr-FR"/>
              </w:rPr>
            </w:pPr>
            <w:r>
              <w:rPr>
                <w:sz w:val="19"/>
                <w:szCs w:val="19"/>
                <w:lang w:val="fr-CA"/>
              </w:rPr>
              <w:t>Environ 16 mois de retard avant la disponibilité pour le service commercial</w:t>
            </w:r>
          </w:p>
        </w:tc>
      </w:tr>
      <w:tr w:rsidR="006774F4" w14:paraId="43432FE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F73259C"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F76951C" w14:textId="77777777" w:rsidR="006774F4" w:rsidRDefault="006774F4" w:rsidP="00AA5586">
            <w:pPr>
              <w:spacing w:after="0" w:line="254" w:lineRule="auto"/>
            </w:pPr>
            <w:r>
              <w:rPr>
                <w:sz w:val="19"/>
                <w:szCs w:val="19"/>
              </w:rPr>
              <w:t>C03, C04, C05, C08, C14</w:t>
            </w:r>
          </w:p>
        </w:tc>
      </w:tr>
      <w:tr w:rsidR="006774F4" w14:paraId="5FC0AC9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tcPr>
          <w:p w14:paraId="0392B8B9"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2EC53CF7" w14:textId="77777777" w:rsidR="006774F4" w:rsidRDefault="006774F4" w:rsidP="00AA5586">
            <w:pPr>
              <w:spacing w:after="0" w:line="254" w:lineRule="auto"/>
              <w:rPr>
                <w:color w:val="auto"/>
                <w:sz w:val="19"/>
                <w:szCs w:val="19"/>
              </w:rPr>
            </w:pPr>
            <w:r>
              <w:rPr>
                <w:color w:val="auto"/>
                <w:sz w:val="19"/>
                <w:szCs w:val="19"/>
              </w:rPr>
              <w:t>Contracts, Governance, Process</w:t>
            </w:r>
          </w:p>
        </w:tc>
      </w:tr>
    </w:tbl>
    <w:p w14:paraId="7DA91289" w14:textId="77777777" w:rsidR="006774F4" w:rsidRDefault="006774F4" w:rsidP="006774F4">
      <w:pPr>
        <w:pStyle w:val="Heading2"/>
      </w:pPr>
      <w:bookmarkStart w:id="19" w:name="__RefHeading___Toc4773_3048004937"/>
      <w:bookmarkStart w:id="20" w:name="_Toc239750653"/>
      <w:bookmarkEnd w:id="19"/>
      <w:r>
        <w:rPr>
          <w:lang w:val="fr-CA"/>
        </w:rPr>
        <w:t>Ce qui s’est passé</w:t>
      </w:r>
      <w:bookmarkEnd w:id="20"/>
    </w:p>
    <w:p w14:paraId="5A390622" w14:textId="77777777" w:rsidR="006774F4" w:rsidRPr="006774F4" w:rsidRDefault="006774F4" w:rsidP="006774F4">
      <w:pPr>
        <w:rPr>
          <w:lang w:val="fr-FR"/>
        </w:rPr>
      </w:pPr>
      <w:r>
        <w:rPr>
          <w:lang w:val="fr-CA"/>
        </w:rPr>
        <w:t>Ottawa a réalisé sa première ligne de train léger au moyen d’un contrat de conception-construction-financement-entretien de 2,1 milliards de dollars, une formule retenue notamment parce qu’elle devait transférer certains risques au consortium privé. Et certains risques ont effectivement été transférés. Après l’affaissement de la rue Rideau, le commissaire a conclu que la Ville avait économisé plus de 100 millions de dollars parce que le risque géotechnique avait bel et bien été transféré. Il importe de le préciser d’entrée de jeu : l’enquête ne conclut pas que le modèle contractuel a échoué sur tous les plans.</w:t>
      </w:r>
    </w:p>
    <w:p w14:paraId="58AD23A3" w14:textId="77777777" w:rsidR="006774F4" w:rsidRPr="006774F4" w:rsidRDefault="006774F4" w:rsidP="006774F4">
      <w:pPr>
        <w:rPr>
          <w:lang w:val="fr-FR"/>
        </w:rPr>
      </w:pPr>
      <w:r>
        <w:rPr>
          <w:lang w:val="fr-CA"/>
        </w:rPr>
        <w:t>Ce qui a échoué, c’est la circulation de l’information vers les personnes appelées à décider. Le commissaire a conclu que le Conseil avait reçu une date de mise en service que les parties savaient irréalisable, que des renseignements essentiels n’avaient été communiqués qu’au bureau du maire et au directeur municipal, et que le Conseil avait été délibérément induit en erreur dans une note de service du 23 août 2019. Lorsque le système n’a pas été en mesure de respecter le critère convenu pour la période d’essai, le seuil de fiabilité a été abaissé de 98 % à 96 % plutôt que de reporter la date.</w:t>
      </w:r>
    </w:p>
    <w:p w14:paraId="053D0387" w14:textId="77777777" w:rsidR="006774F4" w:rsidRDefault="006774F4" w:rsidP="006774F4">
      <w:pPr>
        <w:pStyle w:val="Heading2"/>
      </w:pPr>
      <w:bookmarkStart w:id="21" w:name="__RefHeading___Toc4775_3048004937"/>
      <w:bookmarkStart w:id="22" w:name="_Toc239750654"/>
      <w:bookmarkEnd w:id="21"/>
      <w:r>
        <w:rPr>
          <w:lang w:val="fr-CA"/>
        </w:rPr>
        <w:t>Constats du rapport</w:t>
      </w:r>
      <w:bookmarkEnd w:id="22"/>
    </w:p>
    <w:p w14:paraId="10BD0752" w14:textId="77777777" w:rsidR="006774F4" w:rsidRDefault="006774F4" w:rsidP="006774F4">
      <w:pPr>
        <w:spacing w:after="110"/>
        <w:rPr>
          <w:i/>
          <w:color w:val="5A7A9A"/>
          <w:sz w:val="20"/>
          <w:szCs w:val="20"/>
        </w:rPr>
      </w:pPr>
    </w:p>
    <w:p w14:paraId="3ECE8DE3" w14:textId="77777777" w:rsidR="006774F4" w:rsidRPr="006774F4" w:rsidRDefault="006774F4" w:rsidP="006774F4">
      <w:pPr>
        <w:pStyle w:val="ListParagraph"/>
        <w:numPr>
          <w:ilvl w:val="0"/>
          <w:numId w:val="19"/>
        </w:numPr>
        <w:spacing w:after="100" w:line="276" w:lineRule="auto"/>
        <w:contextualSpacing w:val="0"/>
        <w:rPr>
          <w:lang w:val="fr-FR"/>
        </w:rPr>
      </w:pPr>
      <w:r>
        <w:rPr>
          <w:sz w:val="21"/>
          <w:szCs w:val="21"/>
          <w:lang w:val="fr-CA"/>
        </w:rPr>
        <w:t xml:space="preserve">« </w:t>
      </w:r>
      <w:proofErr w:type="gramStart"/>
      <w:r>
        <w:rPr>
          <w:sz w:val="21"/>
          <w:szCs w:val="21"/>
          <w:lang w:val="fr-CA"/>
        </w:rPr>
        <w:t>atteintes</w:t>
      </w:r>
      <w:proofErr w:type="gramEnd"/>
      <w:r>
        <w:rPr>
          <w:sz w:val="21"/>
          <w:szCs w:val="21"/>
          <w:lang w:val="fr-CA"/>
        </w:rPr>
        <w:t xml:space="preserve"> flagrantes à la confiance du public », notamment le fait que RTG ait fourni des « dates de disponibilité pour le service commercial qu’il savait totalement irréalistes » et que de hauts responsables municipaux aient délibérément induit le Conseil en erreur au sujet de la période d’essai</w:t>
      </w:r>
    </w:p>
    <w:p w14:paraId="152600AE" w14:textId="77777777" w:rsidR="006774F4" w:rsidRPr="006774F4" w:rsidRDefault="006774F4" w:rsidP="006774F4">
      <w:pPr>
        <w:pStyle w:val="ListParagraph"/>
        <w:numPr>
          <w:ilvl w:val="0"/>
          <w:numId w:val="19"/>
        </w:numPr>
        <w:spacing w:after="100" w:line="276" w:lineRule="auto"/>
        <w:contextualSpacing w:val="0"/>
        <w:rPr>
          <w:lang w:val="fr-FR"/>
        </w:rPr>
      </w:pPr>
      <w:proofErr w:type="gramStart"/>
      <w:r>
        <w:rPr>
          <w:sz w:val="21"/>
          <w:szCs w:val="21"/>
          <w:lang w:val="fr-CA"/>
        </w:rPr>
        <w:t>des</w:t>
      </w:r>
      <w:proofErr w:type="gramEnd"/>
      <w:r>
        <w:rPr>
          <w:sz w:val="21"/>
          <w:szCs w:val="21"/>
          <w:lang w:val="fr-CA"/>
        </w:rPr>
        <w:t xml:space="preserve"> renseignements essentiels ont été retenus et communiqués uniquement au maire Jim Watson et à son bureau, et le directeur municipal </w:t>
      </w:r>
      <w:proofErr w:type="spellStart"/>
      <w:r>
        <w:rPr>
          <w:sz w:val="21"/>
          <w:szCs w:val="21"/>
          <w:lang w:val="fr-CA"/>
        </w:rPr>
        <w:t>Kanellakos</w:t>
      </w:r>
      <w:proofErr w:type="spellEnd"/>
      <w:r>
        <w:rPr>
          <w:sz w:val="21"/>
          <w:szCs w:val="21"/>
          <w:lang w:val="fr-CA"/>
        </w:rPr>
        <w:t xml:space="preserve"> a « délibérément induit le Conseil en erreur » dans une note de service du 23 août 2019</w:t>
      </w:r>
    </w:p>
    <w:p w14:paraId="6DF4C410" w14:textId="77777777" w:rsidR="006774F4" w:rsidRPr="006774F4" w:rsidRDefault="006774F4" w:rsidP="006774F4">
      <w:pPr>
        <w:pStyle w:val="ListParagraph"/>
        <w:numPr>
          <w:ilvl w:val="0"/>
          <w:numId w:val="19"/>
        </w:numPr>
        <w:spacing w:after="100" w:line="276" w:lineRule="auto"/>
        <w:contextualSpacing w:val="0"/>
        <w:rPr>
          <w:lang w:val="fr-FR"/>
        </w:rPr>
      </w:pPr>
      <w:proofErr w:type="gramStart"/>
      <w:r>
        <w:rPr>
          <w:sz w:val="21"/>
          <w:szCs w:val="21"/>
          <w:lang w:val="fr-CA"/>
        </w:rPr>
        <w:t>le</w:t>
      </w:r>
      <w:proofErr w:type="gramEnd"/>
      <w:r>
        <w:rPr>
          <w:sz w:val="21"/>
          <w:szCs w:val="21"/>
          <w:lang w:val="fr-CA"/>
        </w:rPr>
        <w:t xml:space="preserve"> modèle conception-construction-financement-entretien a « causé ou contribué à plusieurs difficultés persistantes », et « l’insistance de la Ville à faire respecter ses droits contractuels a largement contribué à la détérioration de la relation »</w:t>
      </w:r>
    </w:p>
    <w:p w14:paraId="62128422" w14:textId="77777777" w:rsidR="006774F4" w:rsidRPr="006774F4" w:rsidRDefault="006774F4" w:rsidP="006774F4">
      <w:pPr>
        <w:pStyle w:val="ListParagraph"/>
        <w:numPr>
          <w:ilvl w:val="0"/>
          <w:numId w:val="19"/>
        </w:numPr>
        <w:spacing w:after="100" w:line="276" w:lineRule="auto"/>
        <w:contextualSpacing w:val="0"/>
        <w:rPr>
          <w:lang w:val="fr-FR"/>
        </w:rPr>
      </w:pPr>
      <w:r>
        <w:rPr>
          <w:sz w:val="21"/>
          <w:szCs w:val="21"/>
          <w:lang w:val="fr-CA"/>
        </w:rPr>
        <w:t xml:space="preserve">« </w:t>
      </w:r>
      <w:proofErr w:type="gramStart"/>
      <w:r>
        <w:rPr>
          <w:sz w:val="21"/>
          <w:szCs w:val="21"/>
          <w:lang w:val="fr-CA"/>
        </w:rPr>
        <w:t>la</w:t>
      </w:r>
      <w:proofErr w:type="gramEnd"/>
      <w:r>
        <w:rPr>
          <w:sz w:val="21"/>
          <w:szCs w:val="21"/>
          <w:lang w:val="fr-CA"/>
        </w:rPr>
        <w:t xml:space="preserve"> Ville a économisé plus de 100 millions de dollars parce qu’elle avait transféré le risque géotechnique à RTG » à la suite de l’affaissement de la rue Rideau</w:t>
      </w:r>
    </w:p>
    <w:p w14:paraId="7B6402F6" w14:textId="77777777" w:rsidR="006774F4" w:rsidRPr="006774F4" w:rsidRDefault="006774F4" w:rsidP="006774F4">
      <w:pPr>
        <w:pStyle w:val="ListParagraph"/>
        <w:numPr>
          <w:ilvl w:val="0"/>
          <w:numId w:val="19"/>
        </w:numPr>
        <w:spacing w:after="100" w:line="276" w:lineRule="auto"/>
        <w:contextualSpacing w:val="0"/>
        <w:rPr>
          <w:lang w:val="fr-FR"/>
        </w:rPr>
      </w:pPr>
      <w:r>
        <w:rPr>
          <w:sz w:val="21"/>
          <w:szCs w:val="21"/>
          <w:lang w:val="fr-CA"/>
        </w:rPr>
        <w:t>« RTG et OLRT-C n’ont pas veillé à l’intégration des rôles, des responsabilités et des livrables », les sous-traitants travaillant en silos</w:t>
      </w:r>
    </w:p>
    <w:p w14:paraId="46D285D0" w14:textId="77777777" w:rsidR="006774F4" w:rsidRPr="006774F4" w:rsidRDefault="006774F4" w:rsidP="006774F4">
      <w:pPr>
        <w:pStyle w:val="ListParagraph"/>
        <w:numPr>
          <w:ilvl w:val="0"/>
          <w:numId w:val="19"/>
        </w:numPr>
        <w:spacing w:after="100" w:line="276" w:lineRule="auto"/>
        <w:contextualSpacing w:val="0"/>
        <w:rPr>
          <w:lang w:val="fr-FR"/>
        </w:rPr>
      </w:pPr>
      <w:proofErr w:type="gramStart"/>
      <w:r>
        <w:rPr>
          <w:sz w:val="21"/>
          <w:szCs w:val="21"/>
          <w:lang w:val="fr-CA"/>
        </w:rPr>
        <w:t>la</w:t>
      </w:r>
      <w:proofErr w:type="gramEnd"/>
      <w:r>
        <w:rPr>
          <w:sz w:val="21"/>
          <w:szCs w:val="21"/>
          <w:lang w:val="fr-CA"/>
        </w:rPr>
        <w:t xml:space="preserve"> Ville a accepté d</w:t>
      </w:r>
      <w:proofErr w:type="gramStart"/>
      <w:r>
        <w:rPr>
          <w:sz w:val="21"/>
          <w:szCs w:val="21"/>
          <w:lang w:val="fr-CA"/>
        </w:rPr>
        <w:t>’«</w:t>
      </w:r>
      <w:proofErr w:type="gramEnd"/>
      <w:r>
        <w:rPr>
          <w:sz w:val="21"/>
          <w:szCs w:val="21"/>
          <w:lang w:val="fr-CA"/>
        </w:rPr>
        <w:t xml:space="preserve"> abaisser les critères d’essai de la période d’essai » de 98 % à 96 % de fiabilité parce que le système ne pouvait satisfaire aux critères convenus</w:t>
      </w:r>
    </w:p>
    <w:p w14:paraId="15644C84" w14:textId="77777777" w:rsidR="006774F4" w:rsidRDefault="006774F4" w:rsidP="006774F4">
      <w:pPr>
        <w:pStyle w:val="Heading2"/>
      </w:pPr>
      <w:bookmarkStart w:id="23" w:name="__RefHeading___Toc4777_3048004937"/>
      <w:bookmarkStart w:id="24" w:name="_Toc239750655"/>
      <w:bookmarkEnd w:id="23"/>
      <w:r>
        <w:rPr>
          <w:lang w:val="fr-CA"/>
        </w:rPr>
        <w:lastRenderedPageBreak/>
        <w:t>Codes du projet</w:t>
      </w:r>
      <w:bookmarkEnd w:id="24"/>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35"/>
        <w:gridCol w:w="2605"/>
      </w:tblGrid>
      <w:tr w:rsidR="006774F4" w14:paraId="66FB16C8" w14:textId="77777777" w:rsidTr="00AA5586">
        <w:trPr>
          <w:cantSplit/>
          <w:tblHeader/>
        </w:trPr>
        <w:tc>
          <w:tcPr>
            <w:tcW w:w="900" w:type="dxa"/>
            <w:tcBorders>
              <w:bottom w:val="single" w:sz="4" w:space="0" w:color="000000"/>
            </w:tcBorders>
            <w:shd w:val="clear" w:color="auto" w:fill="1B3A6B"/>
          </w:tcPr>
          <w:p w14:paraId="43D81029"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vAlign w:val="center"/>
          </w:tcPr>
          <w:p w14:paraId="52F0D52D" w14:textId="77777777" w:rsidR="006774F4" w:rsidRDefault="006774F4" w:rsidP="00AA5586">
            <w:pPr>
              <w:spacing w:after="0" w:line="254" w:lineRule="auto"/>
              <w:jc w:val="center"/>
            </w:pPr>
            <w:r>
              <w:rPr>
                <w:b/>
                <w:bCs/>
                <w:caps/>
                <w:color w:val="FFFFFF"/>
                <w:spacing w:val="16"/>
                <w:sz w:val="18"/>
                <w:szCs w:val="18"/>
                <w:lang w:val="fr-CA"/>
              </w:rPr>
              <w:t>Cause</w:t>
            </w:r>
          </w:p>
        </w:tc>
        <w:tc>
          <w:tcPr>
            <w:tcW w:w="1635" w:type="dxa"/>
            <w:tcBorders>
              <w:bottom w:val="single" w:sz="4" w:space="0" w:color="000000"/>
            </w:tcBorders>
            <w:shd w:val="clear" w:color="auto" w:fill="1B3A6B"/>
            <w:vAlign w:val="center"/>
          </w:tcPr>
          <w:p w14:paraId="7C2F08D8"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605" w:type="dxa"/>
            <w:tcBorders>
              <w:bottom w:val="single" w:sz="4" w:space="0" w:color="000000"/>
            </w:tcBorders>
            <w:shd w:val="clear" w:color="auto" w:fill="1B3A6B"/>
            <w:vAlign w:val="center"/>
          </w:tcPr>
          <w:p w14:paraId="33733D15"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60E2DE2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A5F3C9" w14:textId="77777777" w:rsidR="006774F4" w:rsidRDefault="006774F4" w:rsidP="00AA5586">
            <w:pPr>
              <w:spacing w:after="0" w:line="254" w:lineRule="auto"/>
              <w:jc w:val="center"/>
            </w:pPr>
            <w:r>
              <w:rPr>
                <w:b/>
                <w:bCs/>
                <w:sz w:val="18"/>
                <w:szCs w:val="18"/>
              </w:rPr>
              <w:t>C03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864CE5" w14:textId="77777777" w:rsidR="006774F4" w:rsidRPr="006774F4" w:rsidRDefault="006774F4" w:rsidP="00AA5586">
            <w:pPr>
              <w:spacing w:after="0" w:line="254" w:lineRule="auto"/>
              <w:rPr>
                <w:lang w:val="fr-FR"/>
              </w:rPr>
            </w:pPr>
            <w:r>
              <w:rPr>
                <w:sz w:val="18"/>
                <w:szCs w:val="18"/>
                <w:lang w:val="fr-CA"/>
              </w:rPr>
              <w:t>Échéancier trop optimiste ou référence de base irréaliste</w:t>
            </w:r>
          </w:p>
        </w:tc>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40D618" w14:textId="77777777" w:rsidR="006774F4" w:rsidRDefault="006774F4" w:rsidP="00AA5586">
            <w:pPr>
              <w:spacing w:after="0" w:line="254" w:lineRule="auto"/>
              <w:jc w:val="center"/>
            </w:pPr>
            <w:r>
              <w:rPr>
                <w:b/>
                <w:bCs/>
                <w:color w:val="B85C30"/>
                <w:sz w:val="18"/>
                <w:szCs w:val="18"/>
                <w:lang w:val="fr-CA"/>
              </w:rPr>
              <w:t>9,1 %</w:t>
            </w:r>
          </w:p>
        </w:tc>
        <w:tc>
          <w:tcPr>
            <w:tcW w:w="260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621596" w14:textId="77777777" w:rsidR="006774F4" w:rsidRDefault="006774F4" w:rsidP="00AA5586">
            <w:pPr>
              <w:spacing w:after="0" w:line="254" w:lineRule="auto"/>
              <w:jc w:val="center"/>
            </w:pPr>
            <w:r>
              <w:rPr>
                <w:sz w:val="18"/>
                <w:szCs w:val="18"/>
              </w:rPr>
              <w:t>Process</w:t>
            </w:r>
          </w:p>
        </w:tc>
      </w:tr>
      <w:tr w:rsidR="006774F4" w14:paraId="681209D9"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A726303"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14D5996"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63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F728DC2" w14:textId="77777777" w:rsidR="006774F4" w:rsidRDefault="006774F4" w:rsidP="00AA5586">
            <w:pPr>
              <w:spacing w:after="0" w:line="254" w:lineRule="auto"/>
              <w:jc w:val="center"/>
            </w:pPr>
            <w:r>
              <w:rPr>
                <w:b/>
                <w:bCs/>
                <w:color w:val="B85C30"/>
                <w:sz w:val="18"/>
                <w:szCs w:val="18"/>
                <w:lang w:val="fr-CA"/>
              </w:rPr>
              <w:t>36,4 %</w:t>
            </w:r>
          </w:p>
        </w:tc>
        <w:tc>
          <w:tcPr>
            <w:tcW w:w="260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8B52324" w14:textId="77777777" w:rsidR="006774F4" w:rsidRDefault="006774F4" w:rsidP="00AA5586">
            <w:pPr>
              <w:spacing w:after="0" w:line="254" w:lineRule="auto"/>
              <w:jc w:val="center"/>
            </w:pPr>
            <w:r>
              <w:rPr>
                <w:sz w:val="18"/>
                <w:szCs w:val="18"/>
              </w:rPr>
              <w:t>Governance</w:t>
            </w:r>
          </w:p>
        </w:tc>
      </w:tr>
      <w:tr w:rsidR="006774F4" w14:paraId="7196786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10A7A5"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FC284D"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A2F721" w14:textId="77777777" w:rsidR="006774F4" w:rsidRDefault="006774F4" w:rsidP="00AA5586">
            <w:pPr>
              <w:spacing w:after="0" w:line="254" w:lineRule="auto"/>
              <w:jc w:val="center"/>
            </w:pPr>
            <w:r>
              <w:rPr>
                <w:b/>
                <w:bCs/>
                <w:color w:val="B85C30"/>
                <w:sz w:val="18"/>
                <w:szCs w:val="18"/>
                <w:lang w:val="fr-CA"/>
              </w:rPr>
              <w:t>38,2 %</w:t>
            </w:r>
          </w:p>
        </w:tc>
        <w:tc>
          <w:tcPr>
            <w:tcW w:w="260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F68DA" w14:textId="77777777" w:rsidR="006774F4" w:rsidRDefault="006774F4" w:rsidP="00AA5586">
            <w:pPr>
              <w:spacing w:after="0" w:line="254" w:lineRule="auto"/>
              <w:jc w:val="center"/>
            </w:pPr>
            <w:r>
              <w:rPr>
                <w:sz w:val="18"/>
                <w:szCs w:val="18"/>
              </w:rPr>
              <w:t>Governance</w:t>
            </w:r>
          </w:p>
        </w:tc>
      </w:tr>
      <w:tr w:rsidR="006774F4" w14:paraId="5B09341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4967936"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BB4EC74"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63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DFDDD5" w14:textId="77777777" w:rsidR="006774F4" w:rsidRDefault="006774F4" w:rsidP="00AA5586">
            <w:pPr>
              <w:spacing w:after="0" w:line="254" w:lineRule="auto"/>
              <w:jc w:val="center"/>
            </w:pPr>
            <w:r>
              <w:rPr>
                <w:b/>
                <w:bCs/>
                <w:color w:val="B85C30"/>
                <w:sz w:val="18"/>
                <w:szCs w:val="18"/>
                <w:lang w:val="fr-CA"/>
              </w:rPr>
              <w:t>22,7 %</w:t>
            </w:r>
          </w:p>
        </w:tc>
        <w:tc>
          <w:tcPr>
            <w:tcW w:w="260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4DF6FD" w14:textId="77777777" w:rsidR="006774F4" w:rsidRDefault="006774F4" w:rsidP="00AA5586">
            <w:pPr>
              <w:spacing w:after="0" w:line="254" w:lineRule="auto"/>
              <w:jc w:val="center"/>
            </w:pPr>
            <w:r>
              <w:rPr>
                <w:sz w:val="18"/>
                <w:szCs w:val="18"/>
              </w:rPr>
              <w:t>Contracts</w:t>
            </w:r>
          </w:p>
        </w:tc>
      </w:tr>
      <w:tr w:rsidR="006774F4" w14:paraId="53F73BD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20D4BE" w14:textId="77777777" w:rsidR="006774F4" w:rsidRDefault="006774F4" w:rsidP="00AA5586">
            <w:pPr>
              <w:spacing w:after="0" w:line="254" w:lineRule="auto"/>
              <w:jc w:val="center"/>
            </w:pPr>
            <w:r>
              <w:rPr>
                <w:b/>
                <w:bCs/>
                <w:sz w:val="18"/>
                <w:szCs w:val="18"/>
              </w:rPr>
              <w:t>C14</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8E23D7" w14:textId="77777777" w:rsidR="006774F4" w:rsidRPr="006774F4" w:rsidRDefault="006774F4" w:rsidP="00AA5586">
            <w:pPr>
              <w:spacing w:after="0" w:line="254" w:lineRule="auto"/>
              <w:rPr>
                <w:lang w:val="fr-FR"/>
              </w:rPr>
            </w:pPr>
            <w:r>
              <w:rPr>
                <w:sz w:val="18"/>
                <w:szCs w:val="18"/>
                <w:lang w:val="fr-CA"/>
              </w:rPr>
              <w:t>Défaillance de l’assurance qualité, de l’inspection ou de la mise en service</w:t>
            </w:r>
          </w:p>
        </w:tc>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01A607" w14:textId="77777777" w:rsidR="006774F4" w:rsidRDefault="006774F4" w:rsidP="00AA5586">
            <w:pPr>
              <w:spacing w:after="0" w:line="254" w:lineRule="auto"/>
              <w:jc w:val="center"/>
            </w:pPr>
            <w:r>
              <w:rPr>
                <w:b/>
                <w:bCs/>
                <w:color w:val="B85C30"/>
                <w:sz w:val="18"/>
                <w:szCs w:val="18"/>
                <w:lang w:val="fr-CA"/>
              </w:rPr>
              <w:t>10,9 %</w:t>
            </w:r>
          </w:p>
        </w:tc>
        <w:tc>
          <w:tcPr>
            <w:tcW w:w="260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4B39DB" w14:textId="77777777" w:rsidR="006774F4" w:rsidRDefault="006774F4" w:rsidP="00AA5586">
            <w:pPr>
              <w:spacing w:after="0" w:line="254" w:lineRule="auto"/>
              <w:jc w:val="center"/>
            </w:pPr>
            <w:r>
              <w:rPr>
                <w:sz w:val="18"/>
                <w:szCs w:val="18"/>
              </w:rPr>
              <w:t>Process</w:t>
            </w:r>
          </w:p>
        </w:tc>
      </w:tr>
    </w:tbl>
    <w:p w14:paraId="4EBF39D6" w14:textId="77777777" w:rsidR="006774F4" w:rsidRDefault="006774F4" w:rsidP="006774F4"/>
    <w:p w14:paraId="191AB052" w14:textId="77777777" w:rsidR="006774F4" w:rsidRPr="006774F4" w:rsidRDefault="006774F4" w:rsidP="006774F4">
      <w:pPr>
        <w:pStyle w:val="Heading2"/>
        <w:rPr>
          <w:lang w:val="fr-FR"/>
        </w:rPr>
      </w:pPr>
      <w:bookmarkStart w:id="25" w:name="__RefHeading___Toc4779_3048004937"/>
      <w:bookmarkStart w:id="26" w:name="_Toc239750656"/>
      <w:bookmarkEnd w:id="25"/>
      <w:r>
        <w:rPr>
          <w:lang w:val="fr-CA"/>
        </w:rPr>
        <w:t xml:space="preserve">Ce qu’une intervention de Clarity </w:t>
      </w:r>
      <w:proofErr w:type="spellStart"/>
      <w:r>
        <w:rPr>
          <w:lang w:val="fr-CA"/>
        </w:rPr>
        <w:t>Builders</w:t>
      </w:r>
      <w:proofErr w:type="spellEnd"/>
      <w:r>
        <w:rPr>
          <w:lang w:val="fr-CA"/>
        </w:rPr>
        <w:t xml:space="preserve"> aurait permis d’aborder</w:t>
      </w:r>
      <w:bookmarkEnd w:id="26"/>
    </w:p>
    <w:p w14:paraId="2FEAEAA5" w14:textId="77777777" w:rsidR="006774F4" w:rsidRPr="006774F4" w:rsidRDefault="006774F4" w:rsidP="006774F4">
      <w:pPr>
        <w:pStyle w:val="ListParagraph"/>
        <w:numPr>
          <w:ilvl w:val="0"/>
          <w:numId w:val="29"/>
        </w:numPr>
        <w:spacing w:after="100" w:line="276" w:lineRule="auto"/>
        <w:contextualSpacing w:val="0"/>
        <w:rPr>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Des exigences d’échange d’informations intégrées au contrat DBFM auraient défini ce que le consortium devait remettre à la Ville, sous quelle forme et à quel moment, comme livrable contractuel plutôt que comme simple pratique de communication. L’enquête ne conclut pas que l’information n’existait pas. Elle conclut qu’aucune obligation n’imposait de la fournir à une personne précise selon un échéancier défini.</w:t>
      </w:r>
    </w:p>
    <w:p w14:paraId="62387FE6" w14:textId="77777777" w:rsidR="006774F4" w:rsidRPr="006774F4" w:rsidRDefault="006774F4" w:rsidP="006774F4">
      <w:pPr>
        <w:pStyle w:val="ListParagraph"/>
        <w:numPr>
          <w:ilvl w:val="0"/>
          <w:numId w:val="29"/>
        </w:numPr>
        <w:spacing w:after="100" w:line="276" w:lineRule="auto"/>
        <w:contextualSpacing w:val="0"/>
        <w:rPr>
          <w:lang w:val="fr-FR"/>
        </w:rPr>
      </w:pPr>
      <w:r w:rsidRPr="006774F4">
        <w:rPr>
          <w:b/>
          <w:bCs/>
          <w:color w:val="1B3A6B"/>
          <w:sz w:val="21"/>
          <w:szCs w:val="21"/>
          <w:lang w:val="en-US"/>
        </w:rPr>
        <w:t xml:space="preserve">5.11 Coordination protocol and issue discipline.  </w:t>
      </w:r>
      <w:r>
        <w:rPr>
          <w:sz w:val="21"/>
          <w:szCs w:val="21"/>
          <w:lang w:val="fr-CA"/>
        </w:rPr>
        <w:t>Le commissaire a constaté que les sous-traitants travaillaient en silos et que l’intégration des rôles et des livrables n’avait jamais été établie. Un protocole de coordination attribue explicitement la responsabilité du point d’intégration et l’appuie par un registre des enjeux.</w:t>
      </w:r>
    </w:p>
    <w:p w14:paraId="2C8F9118" w14:textId="77777777" w:rsidR="006774F4" w:rsidRPr="006774F4" w:rsidRDefault="006774F4" w:rsidP="006774F4">
      <w:pPr>
        <w:pStyle w:val="ListParagraph"/>
        <w:numPr>
          <w:ilvl w:val="0"/>
          <w:numId w:val="29"/>
        </w:numPr>
        <w:spacing w:after="100" w:line="276" w:lineRule="auto"/>
        <w:contextualSpacing w:val="0"/>
        <w:rPr>
          <w:lang w:val="fr-FR"/>
        </w:rPr>
      </w:pPr>
      <w:r w:rsidRPr="006774F4">
        <w:rPr>
          <w:b/>
          <w:bCs/>
          <w:color w:val="1B3A6B"/>
          <w:sz w:val="21"/>
          <w:szCs w:val="21"/>
          <w:lang w:val="en-US"/>
        </w:rPr>
        <w:t xml:space="preserve">5.10 Common data environment operating model.  </w:t>
      </w:r>
      <w:r>
        <w:rPr>
          <w:sz w:val="21"/>
          <w:szCs w:val="21"/>
          <w:lang w:val="fr-CA"/>
        </w:rPr>
        <w:t>Un environnement de données commun dans lequel les résultats de la période d’essai sont consignés au fur et à mesure permet au Conseil de voir immédiatement l’écart entre le critère de 98 % et la performance réelle, plutôt que de le découvrir trois ans plus tard dans le cadre d’une enquête.</w:t>
      </w:r>
    </w:p>
    <w:p w14:paraId="1ABE06D6" w14:textId="77777777" w:rsidR="006774F4" w:rsidRPr="006774F4" w:rsidRDefault="006774F4" w:rsidP="006774F4">
      <w:pPr>
        <w:pStyle w:val="Heading2"/>
        <w:rPr>
          <w:lang w:val="fr-FR"/>
        </w:rPr>
      </w:pPr>
      <w:bookmarkStart w:id="27" w:name="__RefHeading___Toc4781_3048004937"/>
      <w:bookmarkStart w:id="28" w:name="_Toc239750657"/>
      <w:bookmarkEnd w:id="27"/>
      <w:r>
        <w:rPr>
          <w:lang w:val="fr-CA"/>
        </w:rPr>
        <w:t>Scénario illustratif</w:t>
      </w:r>
      <w:bookmarkEnd w:id="28"/>
    </w:p>
    <w:p w14:paraId="0718ED4D" w14:textId="77777777" w:rsidR="006774F4" w:rsidRPr="006774F4" w:rsidRDefault="006774F4" w:rsidP="006774F4">
      <w:pPr>
        <w:rPr>
          <w:lang w:val="fr-FR"/>
        </w:rPr>
      </w:pPr>
      <w:r>
        <w:rPr>
          <w:lang w:val="fr-CA"/>
        </w:rPr>
        <w:t>L’enquête ne chiffre pas les conséquences de la défaillance dans la communication de l’information. On peut toutefois déterminer quelles décisions auraient été prises avec une information différente.</w:t>
      </w:r>
    </w:p>
    <w:p w14:paraId="6254673B" w14:textId="77777777" w:rsidR="006774F4" w:rsidRPr="006774F4" w:rsidRDefault="006774F4" w:rsidP="006774F4">
      <w:pPr>
        <w:rPr>
          <w:lang w:val="fr-FR"/>
        </w:rPr>
      </w:pPr>
      <w:r>
        <w:rPr>
          <w:lang w:val="fr-CA"/>
        </w:rPr>
        <w:t xml:space="preserve">Le critère de la période d’essai a été abaissé parce que le système ne pouvait le respecter. Si une exigence d’information avait été intégrée au contrat, les données de fiabilité auraient constitué un livrable à communiquer plutôt qu’un élément à négocier, et la décision d’assouplir la norme aurait été une décision officielle du Conseil, consignée au dossier, plutôt qu’un accommodement opérationnel. Il est impossible de savoir si le Conseil aurait décidé </w:t>
      </w:r>
      <w:r>
        <w:rPr>
          <w:lang w:val="fr-CA"/>
        </w:rPr>
        <w:lastRenderedPageBreak/>
        <w:t>autrement, mais une saine gouvernance indique que cette décision aurait dû lui appartenir. Une telle transparence aurait vraisemblablement entraîné un niveau de contrôle supplémentaire dans le processus décisionnel. D’autres difficultés, comme l’affaissement ou, bien sûr, la pandémie, ne pouvaient être prévues; le rapport relève néanmoins une défaillance claire de la gouvernance de l’information.</w:t>
      </w:r>
    </w:p>
    <w:p w14:paraId="5B092E7B" w14:textId="77777777" w:rsidR="006774F4" w:rsidRPr="006774F4" w:rsidRDefault="006774F4" w:rsidP="006774F4">
      <w:pPr>
        <w:pStyle w:val="Heading1"/>
        <w:rPr>
          <w:b/>
          <w:bCs/>
          <w:lang w:val="fr-FR"/>
        </w:rPr>
      </w:pPr>
      <w:bookmarkStart w:id="29" w:name="__RefHeading___Toc4783_3048004937"/>
      <w:bookmarkStart w:id="30" w:name="_Toc239750658"/>
      <w:bookmarkEnd w:id="29"/>
      <w:r>
        <w:rPr>
          <w:b/>
          <w:bCs/>
          <w:lang w:val="fr-CA"/>
        </w:rPr>
        <w:t>Cas 2.  Quartier général du Service de police de Winnipeg</w:t>
      </w:r>
      <w:bookmarkEnd w:id="30"/>
    </w:p>
    <w:p w14:paraId="0A48FBAE" w14:textId="77777777" w:rsidR="006774F4" w:rsidRDefault="006774F4" w:rsidP="006774F4">
      <w:pPr>
        <w:rPr>
          <w:b/>
          <w:bCs/>
        </w:rPr>
      </w:pPr>
      <w:r>
        <w:rPr>
          <w:b/>
          <w:bCs/>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2390FC84" w14:textId="77777777" w:rsidTr="00AA5586">
        <w:trPr>
          <w:cantSplit/>
        </w:trPr>
        <w:tc>
          <w:tcPr>
            <w:tcW w:w="2700" w:type="dxa"/>
            <w:tcBorders>
              <w:bottom w:val="single" w:sz="4" w:space="0" w:color="000000"/>
            </w:tcBorders>
            <w:shd w:val="clear" w:color="auto" w:fill="E2E8F0"/>
          </w:tcPr>
          <w:p w14:paraId="2CEBF144"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tcPr>
          <w:p w14:paraId="72939A3D" w14:textId="77777777" w:rsidR="006774F4" w:rsidRDefault="006774F4" w:rsidP="00AA5586">
            <w:pPr>
              <w:spacing w:after="0" w:line="254" w:lineRule="auto"/>
              <w:jc w:val="center"/>
              <w:rPr>
                <w:b/>
                <w:bCs/>
              </w:rPr>
            </w:pPr>
            <w:r>
              <w:rPr>
                <w:b/>
                <w:bCs/>
                <w:sz w:val="19"/>
                <w:szCs w:val="19"/>
              </w:rPr>
              <w:t>WEST-28</w:t>
            </w:r>
          </w:p>
        </w:tc>
      </w:tr>
      <w:tr w:rsidR="006774F4" w14:paraId="16D7113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C340C3A"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3C5D05B" w14:textId="77777777" w:rsidR="006774F4" w:rsidRDefault="006774F4" w:rsidP="00AA5586">
            <w:pPr>
              <w:spacing w:after="0" w:line="254" w:lineRule="auto"/>
            </w:pPr>
            <w:proofErr w:type="gramStart"/>
            <w:r>
              <w:rPr>
                <w:sz w:val="19"/>
                <w:szCs w:val="19"/>
                <w:lang w:val="fr-CA"/>
              </w:rPr>
              <w:t>Manitoba  ·</w:t>
            </w:r>
            <w:proofErr w:type="gramEnd"/>
            <w:r>
              <w:rPr>
                <w:sz w:val="19"/>
                <w:szCs w:val="19"/>
                <w:lang w:val="fr-CA"/>
              </w:rPr>
              <w:t xml:space="preserve">  Enquête publique provinciale</w:t>
            </w:r>
          </w:p>
        </w:tc>
      </w:tr>
      <w:tr w:rsidR="006774F4" w:rsidRPr="006774F4" w14:paraId="735057D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3BD5DBA"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2C1791F" w14:textId="77777777" w:rsidR="006774F4" w:rsidRPr="006774F4" w:rsidRDefault="006774F4" w:rsidP="00AA5586">
            <w:pPr>
              <w:spacing w:after="0" w:line="254" w:lineRule="auto"/>
              <w:rPr>
                <w:lang w:val="fr-FR"/>
              </w:rPr>
            </w:pPr>
            <w:r>
              <w:rPr>
                <w:sz w:val="19"/>
                <w:szCs w:val="19"/>
                <w:lang w:val="fr-CA"/>
              </w:rPr>
              <w:t>Enquête sur le quartier général du Service de police de Winnipeg, rapport d’expert de Deloitte LLP</w:t>
            </w:r>
          </w:p>
        </w:tc>
      </w:tr>
      <w:tr w:rsidR="006774F4" w:rsidRPr="006774F4" w14:paraId="7F82939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C472BDF"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16AF696" w14:textId="77777777" w:rsidR="006774F4" w:rsidRPr="006774F4" w:rsidRDefault="006774F4" w:rsidP="00AA5586">
            <w:pPr>
              <w:spacing w:after="0" w:line="254" w:lineRule="auto"/>
              <w:rPr>
                <w:lang w:val="fr-FR"/>
              </w:rPr>
            </w:pPr>
            <w:r>
              <w:rPr>
                <w:sz w:val="19"/>
                <w:szCs w:val="19"/>
                <w:lang w:val="fr-CA"/>
              </w:rPr>
              <w:t>Enquête sur le quartier général du Service de police de Winnipeg — pratiques de gestion de projet, 2026</w:t>
            </w:r>
          </w:p>
        </w:tc>
      </w:tr>
      <w:tr w:rsidR="006774F4" w:rsidRPr="006774F4" w14:paraId="209E583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F65AD93"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AC0C6FC" w14:textId="77777777" w:rsidR="006774F4" w:rsidRPr="006774F4" w:rsidRDefault="006774F4" w:rsidP="00AA5586">
            <w:pPr>
              <w:spacing w:after="0" w:line="254" w:lineRule="auto"/>
              <w:rPr>
                <w:lang w:val="fr-FR"/>
              </w:rPr>
            </w:pPr>
            <w:r>
              <w:rPr>
                <w:sz w:val="19"/>
                <w:szCs w:val="19"/>
                <w:lang w:val="fr-CA"/>
              </w:rPr>
              <w:t>Biens immobiliers gouvernementaux et installation policière</w:t>
            </w:r>
          </w:p>
        </w:tc>
      </w:tr>
      <w:tr w:rsidR="006774F4" w:rsidRPr="006774F4" w14:paraId="102A523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5AADEF7"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389148" w14:textId="77777777" w:rsidR="006774F4" w:rsidRPr="006774F4" w:rsidRDefault="006774F4" w:rsidP="00AA5586">
            <w:pPr>
              <w:spacing w:after="0" w:line="254" w:lineRule="auto"/>
              <w:rPr>
                <w:lang w:val="fr-FR"/>
              </w:rPr>
            </w:pPr>
            <w:r>
              <w:rPr>
                <w:sz w:val="19"/>
                <w:szCs w:val="19"/>
                <w:lang w:val="fr-CA"/>
              </w:rPr>
              <w:t>Contrat à prix maximal garanti conclu en novembre 2011, avec une hausse réclamée de 19,6 millions de dollars</w:t>
            </w:r>
          </w:p>
        </w:tc>
      </w:tr>
      <w:tr w:rsidR="006774F4" w:rsidRPr="006774F4" w14:paraId="213A0BD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2A0163D"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2820658" w14:textId="77777777" w:rsidR="006774F4" w:rsidRPr="006774F4" w:rsidRDefault="006774F4" w:rsidP="00AA5586">
            <w:pPr>
              <w:spacing w:after="0" w:line="254" w:lineRule="auto"/>
              <w:rPr>
                <w:lang w:val="fr-FR"/>
              </w:rPr>
            </w:pPr>
            <w:r>
              <w:rPr>
                <w:sz w:val="19"/>
                <w:szCs w:val="19"/>
                <w:lang w:val="fr-CA"/>
              </w:rPr>
              <w:t>Hausse de 19,6 millions de dollars du prix maximal garanti réclamée pour des travaux présentés comme déjà exécutés en grande partie, sans ordres de modification</w:t>
            </w:r>
          </w:p>
        </w:tc>
      </w:tr>
      <w:tr w:rsidR="006774F4" w14:paraId="1B8B239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AE47DC9"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BA6395" w14:textId="77777777" w:rsidR="006774F4" w:rsidRDefault="006774F4" w:rsidP="00AA5586">
            <w:pPr>
              <w:spacing w:after="0" w:line="254" w:lineRule="auto"/>
            </w:pPr>
            <w:r>
              <w:rPr>
                <w:sz w:val="19"/>
                <w:szCs w:val="19"/>
                <w:lang w:val="fr-CA"/>
              </w:rPr>
              <w:t>Non quantifié</w:t>
            </w:r>
          </w:p>
        </w:tc>
      </w:tr>
      <w:tr w:rsidR="006774F4" w14:paraId="71D110C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3E25218"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C74398F" w14:textId="77777777" w:rsidR="006774F4" w:rsidRDefault="006774F4" w:rsidP="00AA5586">
            <w:pPr>
              <w:spacing w:after="0" w:line="254" w:lineRule="auto"/>
            </w:pPr>
            <w:r>
              <w:rPr>
                <w:sz w:val="19"/>
                <w:szCs w:val="19"/>
              </w:rPr>
              <w:t>C01, C05, C06, C08, C10</w:t>
            </w:r>
          </w:p>
        </w:tc>
      </w:tr>
      <w:tr w:rsidR="006774F4" w14:paraId="17D881A2"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C7E2085"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DB29A5C" w14:textId="77777777" w:rsidR="006774F4" w:rsidRDefault="006774F4" w:rsidP="00AA5586">
            <w:pPr>
              <w:spacing w:after="0" w:line="254" w:lineRule="auto"/>
              <w:rPr>
                <w:color w:val="auto"/>
                <w:sz w:val="19"/>
                <w:szCs w:val="19"/>
              </w:rPr>
            </w:pPr>
            <w:r>
              <w:rPr>
                <w:color w:val="auto"/>
                <w:sz w:val="19"/>
                <w:szCs w:val="19"/>
              </w:rPr>
              <w:t>Contracts, Governance, Process</w:t>
            </w:r>
          </w:p>
        </w:tc>
      </w:tr>
    </w:tbl>
    <w:p w14:paraId="67F1DEE5" w14:textId="77777777" w:rsidR="006774F4" w:rsidRDefault="006774F4" w:rsidP="006774F4">
      <w:pPr>
        <w:pStyle w:val="Heading2"/>
      </w:pPr>
      <w:bookmarkStart w:id="31" w:name="__RefHeading___Toc4785_3048004937"/>
      <w:bookmarkStart w:id="32" w:name="_Toc239750659"/>
      <w:bookmarkEnd w:id="31"/>
      <w:r>
        <w:rPr>
          <w:lang w:val="fr-CA"/>
        </w:rPr>
        <w:t>Ce qui s’est passé</w:t>
      </w:r>
      <w:bookmarkEnd w:id="32"/>
    </w:p>
    <w:p w14:paraId="4500D620" w14:textId="77777777" w:rsidR="006774F4" w:rsidRPr="006774F4" w:rsidRDefault="006774F4" w:rsidP="006774F4">
      <w:pPr>
        <w:rPr>
          <w:lang w:val="fr-FR"/>
        </w:rPr>
      </w:pPr>
      <w:r>
        <w:rPr>
          <w:lang w:val="fr-CA"/>
        </w:rPr>
        <w:t>La Ville a conclu une entente à prix maximal garanti alors que la conception n’était achevée qu’à 30 %, dans le cadre d’un projet comportant d’importantes modifications à un bâtiment existant. Le rapport d’expert qualifie cette situation d’inhabituelle, et la raison est simple : un prix maximal garanti offre peu de garanties lorsque la conception sur laquelle il repose n’est achevée qu’au tiers et que le bâtiment à transformer n’a pas encore fait l’objet d’un relevé complet.</w:t>
      </w:r>
    </w:p>
    <w:p w14:paraId="4C2368C9" w14:textId="77777777" w:rsidR="006774F4" w:rsidRPr="006774F4" w:rsidRDefault="006774F4" w:rsidP="006774F4">
      <w:pPr>
        <w:rPr>
          <w:lang w:val="fr-FR"/>
        </w:rPr>
      </w:pPr>
      <w:r>
        <w:rPr>
          <w:lang w:val="fr-CA"/>
        </w:rPr>
        <w:t>La suite se lit dans les documents — ou plutôt dans leur absence. Des demandes de paiement ont été certifiées sans preuve d’un examen détaillé. La ventilation des coûts utilisée dans les demandes ne correspondait pas au contrat auquel elles se rapportaient. Une hausse de 19,6 millions de dollars du prix maximal garanti a été réclamée pour des travaux présentés comme étant déjà exécutés en grande partie, sans ordre de modification à l’appui.</w:t>
      </w:r>
    </w:p>
    <w:p w14:paraId="0577B4B9" w14:textId="77777777" w:rsidR="006774F4" w:rsidRPr="006774F4" w:rsidRDefault="006774F4" w:rsidP="006774F4">
      <w:pPr>
        <w:rPr>
          <w:lang w:val="fr-FR"/>
        </w:rPr>
      </w:pPr>
      <w:r>
        <w:rPr>
          <w:lang w:val="fr-CA"/>
        </w:rPr>
        <w:lastRenderedPageBreak/>
        <w:t>Il s’agit du cas le plus clair du registre où une défaillance documentaire entraîne une défaillance commerciale. Le projet exigeait une piste documentaire permettant d’établir le droit à la réclamation, le lien de causalité et le quantum, mais cette piste n’existait pas.</w:t>
      </w:r>
    </w:p>
    <w:p w14:paraId="5C5CDE8B" w14:textId="77777777" w:rsidR="006774F4" w:rsidRDefault="006774F4" w:rsidP="006774F4">
      <w:pPr>
        <w:pStyle w:val="Heading2"/>
      </w:pPr>
      <w:bookmarkStart w:id="33" w:name="__RefHeading___Toc4787_3048004937"/>
      <w:bookmarkStart w:id="34" w:name="_Toc239750660"/>
      <w:bookmarkEnd w:id="33"/>
      <w:r>
        <w:rPr>
          <w:lang w:val="fr-CA"/>
        </w:rPr>
        <w:t>Constats du rapport</w:t>
      </w:r>
      <w:bookmarkEnd w:id="34"/>
    </w:p>
    <w:p w14:paraId="71D26351" w14:textId="77777777" w:rsidR="006774F4" w:rsidRPr="006774F4" w:rsidRDefault="006774F4" w:rsidP="006774F4">
      <w:pPr>
        <w:pStyle w:val="ListParagraph"/>
        <w:numPr>
          <w:ilvl w:val="0"/>
          <w:numId w:val="23"/>
        </w:numPr>
        <w:spacing w:after="100" w:line="276" w:lineRule="auto"/>
        <w:contextualSpacing w:val="0"/>
        <w:rPr>
          <w:lang w:val="fr-FR"/>
        </w:rPr>
      </w:pPr>
      <w:proofErr w:type="gramStart"/>
      <w:r>
        <w:rPr>
          <w:sz w:val="21"/>
          <w:szCs w:val="21"/>
          <w:lang w:val="fr-CA"/>
        </w:rPr>
        <w:t>le</w:t>
      </w:r>
      <w:proofErr w:type="gramEnd"/>
      <w:r>
        <w:rPr>
          <w:sz w:val="21"/>
          <w:szCs w:val="21"/>
          <w:lang w:val="fr-CA"/>
        </w:rPr>
        <w:t xml:space="preserve"> processus de certification des paiements ne respectait ni les pratiques de pointe attendues dans l’industrie ni les exigences du contrat, et aucun élément ne démontrait un examen ou une vérification détaillée des demandes de paiement</w:t>
      </w:r>
    </w:p>
    <w:p w14:paraId="2F391F0D" w14:textId="77777777" w:rsidR="006774F4" w:rsidRPr="006774F4" w:rsidRDefault="006774F4" w:rsidP="006774F4">
      <w:pPr>
        <w:pStyle w:val="ListParagraph"/>
        <w:numPr>
          <w:ilvl w:val="0"/>
          <w:numId w:val="23"/>
        </w:numPr>
        <w:spacing w:after="100" w:line="276" w:lineRule="auto"/>
        <w:contextualSpacing w:val="0"/>
        <w:rPr>
          <w:lang w:val="fr-FR"/>
        </w:rPr>
      </w:pPr>
      <w:proofErr w:type="gramStart"/>
      <w:r>
        <w:rPr>
          <w:sz w:val="21"/>
          <w:szCs w:val="21"/>
          <w:lang w:val="fr-CA"/>
        </w:rPr>
        <w:t>la</w:t>
      </w:r>
      <w:proofErr w:type="gramEnd"/>
      <w:r>
        <w:rPr>
          <w:sz w:val="21"/>
          <w:szCs w:val="21"/>
          <w:lang w:val="fr-CA"/>
        </w:rPr>
        <w:t xml:space="preserve"> ventilation des coûts utilisée dans les demandes de paiement ne concordait pas avec le contrat à prix maximal garanti</w:t>
      </w:r>
    </w:p>
    <w:p w14:paraId="3D68FCAE" w14:textId="77777777" w:rsidR="006774F4" w:rsidRPr="006774F4" w:rsidRDefault="006774F4" w:rsidP="006774F4">
      <w:pPr>
        <w:pStyle w:val="ListParagraph"/>
        <w:numPr>
          <w:ilvl w:val="0"/>
          <w:numId w:val="23"/>
        </w:numPr>
        <w:spacing w:after="100" w:line="276" w:lineRule="auto"/>
        <w:contextualSpacing w:val="0"/>
        <w:rPr>
          <w:lang w:val="fr-FR"/>
        </w:rPr>
      </w:pPr>
      <w:proofErr w:type="gramStart"/>
      <w:r>
        <w:rPr>
          <w:sz w:val="21"/>
          <w:szCs w:val="21"/>
          <w:lang w:val="fr-CA"/>
        </w:rPr>
        <w:t>les</w:t>
      </w:r>
      <w:proofErr w:type="gramEnd"/>
      <w:r>
        <w:rPr>
          <w:sz w:val="21"/>
          <w:szCs w:val="21"/>
          <w:lang w:val="fr-CA"/>
        </w:rPr>
        <w:t xml:space="preserve"> pièces justificatives fournies pour les modifications au prix maximal garanti ne semblent pas suffisantes pour démontrer le droit à la réclamation, le lien de causalité ou le quantum</w:t>
      </w:r>
    </w:p>
    <w:p w14:paraId="7FB27992" w14:textId="77777777" w:rsidR="006774F4" w:rsidRPr="006774F4" w:rsidRDefault="006774F4" w:rsidP="006774F4">
      <w:pPr>
        <w:pStyle w:val="ListParagraph"/>
        <w:numPr>
          <w:ilvl w:val="0"/>
          <w:numId w:val="23"/>
        </w:numPr>
        <w:spacing w:after="100" w:line="276" w:lineRule="auto"/>
        <w:contextualSpacing w:val="0"/>
        <w:rPr>
          <w:lang w:val="fr-FR"/>
        </w:rPr>
      </w:pPr>
      <w:proofErr w:type="gramStart"/>
      <w:r>
        <w:rPr>
          <w:sz w:val="21"/>
          <w:szCs w:val="21"/>
          <w:lang w:val="fr-CA"/>
        </w:rPr>
        <w:t>la</w:t>
      </w:r>
      <w:proofErr w:type="gramEnd"/>
      <w:r>
        <w:rPr>
          <w:sz w:val="21"/>
          <w:szCs w:val="21"/>
          <w:lang w:val="fr-CA"/>
        </w:rPr>
        <w:t xml:space="preserve"> conclusion d’une entente à prix maximal garanti alors que la conception n’était achevée qu’à 30 %, particulièrement dans le contexte de modifications importantes à un bâtiment existant, est inhabituelle</w:t>
      </w:r>
    </w:p>
    <w:p w14:paraId="7CEED87C" w14:textId="77777777" w:rsidR="006774F4" w:rsidRPr="006774F4" w:rsidRDefault="006774F4" w:rsidP="006774F4">
      <w:pPr>
        <w:pStyle w:val="ListParagraph"/>
        <w:numPr>
          <w:ilvl w:val="0"/>
          <w:numId w:val="23"/>
        </w:numPr>
        <w:spacing w:after="100" w:line="276" w:lineRule="auto"/>
        <w:contextualSpacing w:val="0"/>
        <w:rPr>
          <w:lang w:val="fr-FR"/>
        </w:rPr>
      </w:pPr>
      <w:proofErr w:type="gramStart"/>
      <w:r>
        <w:rPr>
          <w:sz w:val="21"/>
          <w:szCs w:val="21"/>
          <w:lang w:val="fr-CA"/>
        </w:rPr>
        <w:t>les</w:t>
      </w:r>
      <w:proofErr w:type="gramEnd"/>
      <w:r>
        <w:rPr>
          <w:sz w:val="21"/>
          <w:szCs w:val="21"/>
          <w:lang w:val="fr-CA"/>
        </w:rPr>
        <w:t xml:space="preserve"> rapports de projet ne comportaient pas de prévisions prospectives efficaces ni d’information adéquate sur les risques, les coûts et l’échéancier</w:t>
      </w:r>
    </w:p>
    <w:p w14:paraId="71F41663" w14:textId="77777777" w:rsidR="006774F4" w:rsidRDefault="006774F4" w:rsidP="006774F4">
      <w:pPr>
        <w:pStyle w:val="Heading2"/>
      </w:pPr>
      <w:bookmarkStart w:id="35" w:name="__RefHeading___Toc4789_3048004937"/>
      <w:bookmarkStart w:id="36" w:name="_Toc239750661"/>
      <w:bookmarkEnd w:id="35"/>
      <w:r>
        <w:rPr>
          <w:lang w:val="fr-CA"/>
        </w:rPr>
        <w:t>Codes du projet</w:t>
      </w:r>
      <w:bookmarkEnd w:id="36"/>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86"/>
        <w:gridCol w:w="2454"/>
      </w:tblGrid>
      <w:tr w:rsidR="006774F4" w14:paraId="62304369" w14:textId="77777777" w:rsidTr="00AA5586">
        <w:trPr>
          <w:cantSplit/>
          <w:tblHeader/>
        </w:trPr>
        <w:tc>
          <w:tcPr>
            <w:tcW w:w="900" w:type="dxa"/>
            <w:tcBorders>
              <w:bottom w:val="single" w:sz="4" w:space="0" w:color="000000"/>
            </w:tcBorders>
            <w:shd w:val="clear" w:color="auto" w:fill="1B3A6B"/>
            <w:vAlign w:val="center"/>
          </w:tcPr>
          <w:p w14:paraId="3C0BD238"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vAlign w:val="center"/>
          </w:tcPr>
          <w:p w14:paraId="2C8C8ABB" w14:textId="77777777" w:rsidR="006774F4" w:rsidRDefault="006774F4" w:rsidP="00AA5586">
            <w:pPr>
              <w:spacing w:after="0" w:line="254" w:lineRule="auto"/>
              <w:jc w:val="center"/>
            </w:pPr>
            <w:r>
              <w:rPr>
                <w:b/>
                <w:bCs/>
                <w:caps/>
                <w:color w:val="FFFFFF"/>
                <w:spacing w:val="16"/>
                <w:sz w:val="18"/>
                <w:szCs w:val="18"/>
                <w:lang w:val="fr-CA"/>
              </w:rPr>
              <w:t>Cause</w:t>
            </w:r>
          </w:p>
        </w:tc>
        <w:tc>
          <w:tcPr>
            <w:tcW w:w="1786" w:type="dxa"/>
            <w:tcBorders>
              <w:bottom w:val="single" w:sz="4" w:space="0" w:color="000000"/>
            </w:tcBorders>
            <w:shd w:val="clear" w:color="auto" w:fill="1B3A6B"/>
            <w:vAlign w:val="center"/>
          </w:tcPr>
          <w:p w14:paraId="26B3005A"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454" w:type="dxa"/>
            <w:tcBorders>
              <w:bottom w:val="single" w:sz="4" w:space="0" w:color="000000"/>
            </w:tcBorders>
            <w:shd w:val="clear" w:color="auto" w:fill="1B3A6B"/>
            <w:vAlign w:val="center"/>
          </w:tcPr>
          <w:p w14:paraId="3C213D0F"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4B0476F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97009D" w14:textId="77777777" w:rsidR="006774F4" w:rsidRDefault="006774F4" w:rsidP="00AA5586">
            <w:pPr>
              <w:spacing w:after="0" w:line="254" w:lineRule="auto"/>
              <w:jc w:val="center"/>
            </w:pPr>
            <w:r>
              <w:rPr>
                <w:b/>
                <w:bCs/>
                <w:sz w:val="18"/>
                <w:szCs w:val="18"/>
              </w:rPr>
              <w:t>C01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FF6F55"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7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5F0A16" w14:textId="77777777" w:rsidR="006774F4" w:rsidRDefault="006774F4" w:rsidP="00AA5586">
            <w:pPr>
              <w:spacing w:after="0" w:line="254" w:lineRule="auto"/>
              <w:jc w:val="center"/>
            </w:pPr>
            <w:r>
              <w:rPr>
                <w:b/>
                <w:bCs/>
                <w:color w:val="B85C30"/>
                <w:sz w:val="18"/>
                <w:szCs w:val="18"/>
                <w:lang w:val="fr-CA"/>
              </w:rPr>
              <w:t>29,1 %</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12D1B8" w14:textId="77777777" w:rsidR="006774F4" w:rsidRDefault="006774F4" w:rsidP="00AA5586">
            <w:pPr>
              <w:spacing w:after="0" w:line="254" w:lineRule="auto"/>
              <w:jc w:val="center"/>
            </w:pPr>
            <w:r>
              <w:rPr>
                <w:sz w:val="18"/>
                <w:szCs w:val="18"/>
              </w:rPr>
              <w:t>Process</w:t>
            </w:r>
          </w:p>
        </w:tc>
      </w:tr>
      <w:tr w:rsidR="006774F4" w14:paraId="07A35F2D"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5554DD5"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497A545"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786"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AC0715" w14:textId="77777777" w:rsidR="006774F4" w:rsidRDefault="006774F4" w:rsidP="00AA5586">
            <w:pPr>
              <w:spacing w:after="0" w:line="254" w:lineRule="auto"/>
              <w:jc w:val="center"/>
            </w:pPr>
            <w:r>
              <w:rPr>
                <w:b/>
                <w:bCs/>
                <w:color w:val="B85C30"/>
                <w:sz w:val="18"/>
                <w:szCs w:val="18"/>
                <w:lang w:val="fr-CA"/>
              </w:rPr>
              <w:t>38,2 %</w:t>
            </w:r>
          </w:p>
        </w:tc>
        <w:tc>
          <w:tcPr>
            <w:tcW w:w="245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988141" w14:textId="77777777" w:rsidR="006774F4" w:rsidRDefault="006774F4" w:rsidP="00AA5586">
            <w:pPr>
              <w:spacing w:after="0" w:line="254" w:lineRule="auto"/>
              <w:jc w:val="center"/>
            </w:pPr>
            <w:r>
              <w:rPr>
                <w:sz w:val="18"/>
                <w:szCs w:val="18"/>
              </w:rPr>
              <w:t>Governance</w:t>
            </w:r>
          </w:p>
        </w:tc>
      </w:tr>
      <w:tr w:rsidR="006774F4" w14:paraId="4299BB0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86FC8B"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932701"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7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4C2847" w14:textId="77777777" w:rsidR="006774F4" w:rsidRDefault="006774F4" w:rsidP="00AA5586">
            <w:pPr>
              <w:spacing w:after="0" w:line="254" w:lineRule="auto"/>
              <w:jc w:val="center"/>
            </w:pPr>
            <w:r>
              <w:rPr>
                <w:b/>
                <w:bCs/>
                <w:color w:val="B85C30"/>
                <w:sz w:val="18"/>
                <w:szCs w:val="18"/>
                <w:lang w:val="fr-CA"/>
              </w:rPr>
              <w:t>34,5 %</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B2209B" w14:textId="77777777" w:rsidR="006774F4" w:rsidRDefault="006774F4" w:rsidP="00AA5586">
            <w:pPr>
              <w:spacing w:after="0" w:line="254" w:lineRule="auto"/>
              <w:jc w:val="center"/>
            </w:pPr>
            <w:r>
              <w:rPr>
                <w:sz w:val="18"/>
                <w:szCs w:val="18"/>
              </w:rPr>
              <w:t>Governance</w:t>
            </w:r>
          </w:p>
        </w:tc>
      </w:tr>
      <w:tr w:rsidR="006774F4" w14:paraId="092886F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EA95BA8"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22DFA85"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786"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8F0ACE4" w14:textId="77777777" w:rsidR="006774F4" w:rsidRDefault="006774F4" w:rsidP="00AA5586">
            <w:pPr>
              <w:spacing w:after="0" w:line="254" w:lineRule="auto"/>
              <w:jc w:val="center"/>
            </w:pPr>
            <w:r>
              <w:rPr>
                <w:b/>
                <w:bCs/>
                <w:color w:val="B85C30"/>
                <w:sz w:val="18"/>
                <w:szCs w:val="18"/>
                <w:lang w:val="fr-CA"/>
              </w:rPr>
              <w:t>22,7 %</w:t>
            </w:r>
          </w:p>
        </w:tc>
        <w:tc>
          <w:tcPr>
            <w:tcW w:w="245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42561DF" w14:textId="77777777" w:rsidR="006774F4" w:rsidRDefault="006774F4" w:rsidP="00AA5586">
            <w:pPr>
              <w:spacing w:after="0" w:line="254" w:lineRule="auto"/>
              <w:jc w:val="center"/>
            </w:pPr>
            <w:r>
              <w:rPr>
                <w:sz w:val="18"/>
                <w:szCs w:val="18"/>
              </w:rPr>
              <w:t>Contracts</w:t>
            </w:r>
          </w:p>
        </w:tc>
      </w:tr>
      <w:tr w:rsidR="006774F4" w14:paraId="5CD4735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CDD112" w14:textId="77777777" w:rsidR="006774F4" w:rsidRDefault="006774F4" w:rsidP="00AA5586">
            <w:pPr>
              <w:spacing w:after="0" w:line="254" w:lineRule="auto"/>
              <w:jc w:val="center"/>
            </w:pPr>
            <w:r>
              <w:rPr>
                <w:b/>
                <w:bCs/>
                <w:sz w:val="18"/>
                <w:szCs w:val="18"/>
              </w:rPr>
              <w:t>C10</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DA939A" w14:textId="77777777" w:rsidR="006774F4" w:rsidRPr="006774F4" w:rsidRDefault="006774F4" w:rsidP="00AA5586">
            <w:pPr>
              <w:spacing w:after="0" w:line="254" w:lineRule="auto"/>
              <w:rPr>
                <w:lang w:val="fr-FR"/>
              </w:rPr>
            </w:pPr>
            <w:r>
              <w:rPr>
                <w:sz w:val="18"/>
                <w:szCs w:val="18"/>
                <w:lang w:val="fr-CA"/>
              </w:rPr>
              <w:t>Contrôle insuffisant des modifications et des réclamations</w:t>
            </w:r>
          </w:p>
        </w:tc>
        <w:tc>
          <w:tcPr>
            <w:tcW w:w="17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5D62B9" w14:textId="77777777" w:rsidR="006774F4" w:rsidRDefault="006774F4" w:rsidP="00AA5586">
            <w:pPr>
              <w:spacing w:after="0" w:line="254" w:lineRule="auto"/>
              <w:jc w:val="center"/>
            </w:pPr>
            <w:r>
              <w:rPr>
                <w:b/>
                <w:bCs/>
                <w:color w:val="B85C30"/>
                <w:sz w:val="18"/>
                <w:szCs w:val="18"/>
                <w:lang w:val="fr-CA"/>
              </w:rPr>
              <w:t>10,0 %</w:t>
            </w:r>
          </w:p>
        </w:tc>
        <w:tc>
          <w:tcPr>
            <w:tcW w:w="24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A11CA3" w14:textId="77777777" w:rsidR="006774F4" w:rsidRDefault="006774F4" w:rsidP="00AA5586">
            <w:pPr>
              <w:spacing w:after="0" w:line="254" w:lineRule="auto"/>
              <w:jc w:val="center"/>
            </w:pPr>
            <w:r>
              <w:rPr>
                <w:sz w:val="18"/>
                <w:szCs w:val="18"/>
              </w:rPr>
              <w:t>Process</w:t>
            </w:r>
          </w:p>
        </w:tc>
      </w:tr>
    </w:tbl>
    <w:p w14:paraId="5D5A313D" w14:textId="77777777" w:rsidR="006774F4" w:rsidRDefault="006774F4" w:rsidP="006774F4"/>
    <w:p w14:paraId="681FE06D" w14:textId="77777777" w:rsidR="006774F4" w:rsidRPr="006774F4" w:rsidRDefault="006774F4" w:rsidP="006774F4">
      <w:pPr>
        <w:pStyle w:val="Heading2"/>
        <w:rPr>
          <w:lang w:val="fr-FR"/>
        </w:rPr>
      </w:pPr>
      <w:bookmarkStart w:id="37" w:name="__RefHeading___Toc4791_3048004937"/>
      <w:bookmarkStart w:id="38" w:name="_Toc239750662"/>
      <w:bookmarkEnd w:id="37"/>
      <w:r>
        <w:rPr>
          <w:lang w:val="fr-CA"/>
        </w:rPr>
        <w:t xml:space="preserve">Ce qu’une intervention de Clarity </w:t>
      </w:r>
      <w:proofErr w:type="spellStart"/>
      <w:r>
        <w:rPr>
          <w:lang w:val="fr-CA"/>
        </w:rPr>
        <w:t>Builders</w:t>
      </w:r>
      <w:proofErr w:type="spellEnd"/>
      <w:r>
        <w:rPr>
          <w:lang w:val="fr-CA"/>
        </w:rPr>
        <w:t xml:space="preserve"> aurait permis d’aborder</w:t>
      </w:r>
      <w:bookmarkEnd w:id="38"/>
    </w:p>
    <w:p w14:paraId="29F1ABB0" w14:textId="77777777" w:rsidR="006774F4" w:rsidRPr="006774F4" w:rsidRDefault="006774F4" w:rsidP="006774F4">
      <w:pPr>
        <w:pStyle w:val="ListParagraph"/>
        <w:numPr>
          <w:ilvl w:val="0"/>
          <w:numId w:val="31"/>
        </w:numPr>
        <w:spacing w:after="100" w:line="276" w:lineRule="auto"/>
        <w:contextualSpacing w:val="0"/>
        <w:rPr>
          <w:lang w:val="fr-FR"/>
        </w:rPr>
      </w:pPr>
      <w:r w:rsidRPr="006774F4">
        <w:rPr>
          <w:b/>
          <w:bCs/>
          <w:color w:val="1B3A6B"/>
          <w:sz w:val="21"/>
          <w:szCs w:val="21"/>
          <w:lang w:val="en-US"/>
        </w:rPr>
        <w:t xml:space="preserve">5.12 Classification and cost-data alignment.  </w:t>
      </w:r>
      <w:r>
        <w:rPr>
          <w:sz w:val="21"/>
          <w:szCs w:val="21"/>
          <w:lang w:val="fr-CA"/>
        </w:rPr>
        <w:t>Le fait que la ventilation d’une réclamation ne concorde pas avec le contrat constitue un problème de classification. Une classification unique appliquée au contrat, aux réclamations et aux rapports de coûts rend l’écart visible dès la première réclamation, plutôt qu’à la dernière.</w:t>
      </w:r>
    </w:p>
    <w:p w14:paraId="37543C9B" w14:textId="77777777" w:rsidR="006774F4" w:rsidRPr="006774F4" w:rsidRDefault="006774F4" w:rsidP="006774F4">
      <w:pPr>
        <w:pStyle w:val="ListParagraph"/>
        <w:numPr>
          <w:ilvl w:val="0"/>
          <w:numId w:val="31"/>
        </w:numPr>
        <w:spacing w:after="100" w:line="276" w:lineRule="auto"/>
        <w:contextualSpacing w:val="0"/>
        <w:rPr>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 xml:space="preserve">Le droit à la réclamation, le lien de causalité et le quantum sont d’abord des exigences d’information avant de devenir des critères </w:t>
      </w:r>
      <w:r>
        <w:rPr>
          <w:sz w:val="21"/>
          <w:szCs w:val="21"/>
          <w:lang w:val="fr-CA"/>
        </w:rPr>
        <w:lastRenderedPageBreak/>
        <w:t>juridiques. Définir ce qu’une demande de modification doit contenir — et refuser celles qui ne respectent pas ces exigences — relève d’une discipline d’administration contractuelle que notre travail permet d’instaurer.</w:t>
      </w:r>
    </w:p>
    <w:p w14:paraId="35A5CC98" w14:textId="77777777" w:rsidR="006774F4" w:rsidRPr="006774F4" w:rsidRDefault="006774F4" w:rsidP="006774F4">
      <w:pPr>
        <w:pStyle w:val="ListParagraph"/>
        <w:numPr>
          <w:ilvl w:val="0"/>
          <w:numId w:val="31"/>
        </w:numPr>
        <w:spacing w:after="100" w:line="276" w:lineRule="auto"/>
        <w:contextualSpacing w:val="0"/>
        <w:rPr>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Un rapport prospectif sur les coûts et les risques est un outil de planification financière, et non une simple mise à jour de l’état du projet. Son absence explique comment une variation de 19,6 millions de dollars a pu être présentée comme portant sur des travaux déjà exécutés.</w:t>
      </w:r>
    </w:p>
    <w:p w14:paraId="34A6A53B" w14:textId="77777777" w:rsidR="006774F4" w:rsidRPr="006774F4" w:rsidRDefault="006774F4" w:rsidP="006774F4">
      <w:pPr>
        <w:pStyle w:val="Heading2"/>
        <w:rPr>
          <w:lang w:val="fr-FR"/>
        </w:rPr>
      </w:pPr>
      <w:bookmarkStart w:id="39" w:name="__RefHeading___Toc4793_3048004937"/>
      <w:bookmarkStart w:id="40" w:name="_Toc239750663"/>
      <w:bookmarkEnd w:id="39"/>
      <w:r>
        <w:rPr>
          <w:lang w:val="fr-CA"/>
        </w:rPr>
        <w:t>Scénario illustratif</w:t>
      </w:r>
      <w:bookmarkEnd w:id="40"/>
    </w:p>
    <w:p w14:paraId="781DA33E" w14:textId="77777777" w:rsidR="006774F4" w:rsidRPr="006774F4" w:rsidRDefault="006774F4" w:rsidP="006774F4">
      <w:pPr>
        <w:rPr>
          <w:lang w:val="fr-FR"/>
        </w:rPr>
      </w:pPr>
      <w:r>
        <w:rPr>
          <w:lang w:val="fr-CA"/>
        </w:rPr>
        <w:t>Le montant de 19,6 millions de dollars provient du rapport lui-même; nous ne le présentons pas comme une économie qui aurait pu être réalisée.</w:t>
      </w:r>
    </w:p>
    <w:p w14:paraId="240C876C" w14:textId="77777777" w:rsidR="006774F4" w:rsidRPr="006774F4" w:rsidRDefault="006774F4" w:rsidP="006774F4">
      <w:pPr>
        <w:rPr>
          <w:lang w:val="fr-FR"/>
        </w:rPr>
      </w:pPr>
      <w:r>
        <w:rPr>
          <w:lang w:val="fr-CA"/>
        </w:rPr>
        <w:t>Le scénario illustratif est plus circonscrit et porte sur le moment où le problème aurait été détecté. Avec une norme exigeant que toute demande de modification établisse le droit à la réclamation, le lien de causalité et le quantum avant d’être certifiée, une variation de cette ampleur aurait été signalée au moment où les travaux étaient ordonnés, et non au moment de leur facturation. Le registre relève une faiblesse du contrôle des modifications et des réclamations dans 10,0 % des rapports canadiens, ce qui en fait un problème relativement peu fréquent. L’absence de trace des décisions, présente dans 34,5 % des cas, est ce qui rend une telle situation possible.</w:t>
      </w:r>
    </w:p>
    <w:p w14:paraId="0FB4047E" w14:textId="77777777" w:rsidR="006774F4" w:rsidRPr="006774F4" w:rsidRDefault="006774F4" w:rsidP="006774F4">
      <w:pPr>
        <w:pStyle w:val="Heading2"/>
        <w:rPr>
          <w:lang w:val="fr-FR"/>
        </w:rPr>
      </w:pPr>
      <w:bookmarkStart w:id="41" w:name="__RefHeading___Toc4795_3048004937"/>
      <w:bookmarkStart w:id="42" w:name="_Toc239750664"/>
      <w:bookmarkEnd w:id="41"/>
      <w:r>
        <w:rPr>
          <w:lang w:val="fr-CA"/>
        </w:rPr>
        <w:t>Contrefactuel</w:t>
      </w:r>
      <w:bookmarkEnd w:id="42"/>
    </w:p>
    <w:p w14:paraId="081D097A"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 bâtiment aurait coûté moins cher. La portée, la structure existante et le marché sont ce qu’ils sont.</w:t>
      </w:r>
    </w:p>
    <w:p w14:paraId="5D014D88"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en revanche qu’une Ville qui certifie 19,6 millions de dollars de modifications sans piste documentaire ne peut savoir si elle en a pour son argent, et qu’il s’agit d’un problème qui peut être corrigé pour une fraction du montant en jeu.</w:t>
      </w:r>
    </w:p>
    <w:p w14:paraId="16084DCC" w14:textId="77777777" w:rsidR="006774F4" w:rsidRDefault="006774F4" w:rsidP="006774F4">
      <w:pPr>
        <w:pStyle w:val="Heading1"/>
        <w:rPr>
          <w:b/>
          <w:bCs/>
        </w:rPr>
      </w:pPr>
      <w:bookmarkStart w:id="43" w:name="__RefHeading___Toc4797_3048004937"/>
      <w:bookmarkStart w:id="44" w:name="_Toc239750665"/>
      <w:bookmarkEnd w:id="43"/>
      <w:r>
        <w:rPr>
          <w:b/>
          <w:bCs/>
          <w:lang w:val="fr-CA"/>
        </w:rPr>
        <w:t xml:space="preserve">Cas 3.  Toronto Community </w:t>
      </w:r>
      <w:proofErr w:type="spellStart"/>
      <w:r>
        <w:rPr>
          <w:b/>
          <w:bCs/>
          <w:lang w:val="fr-CA"/>
        </w:rPr>
        <w:t>Housing</w:t>
      </w:r>
      <w:bookmarkEnd w:id="44"/>
      <w:proofErr w:type="spellEnd"/>
    </w:p>
    <w:p w14:paraId="579D5A75" w14:textId="77777777" w:rsidR="006774F4" w:rsidRDefault="006774F4" w:rsidP="006774F4">
      <w:pPr>
        <w:spacing w:after="150" w:line="290" w:lineRule="auto"/>
        <w:rPr>
          <w:b/>
          <w:bCs/>
          <w:color w:val="C45911" w:themeColor="accent2" w:themeShade="BF"/>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4DAB2FF5" w14:textId="77777777" w:rsidTr="00AA5586">
        <w:trPr>
          <w:cantSplit/>
        </w:trPr>
        <w:tc>
          <w:tcPr>
            <w:tcW w:w="2700" w:type="dxa"/>
            <w:tcBorders>
              <w:bottom w:val="single" w:sz="4" w:space="0" w:color="000000"/>
            </w:tcBorders>
            <w:shd w:val="clear" w:color="auto" w:fill="E2E8F0"/>
            <w:vAlign w:val="center"/>
          </w:tcPr>
          <w:p w14:paraId="4AA4220E"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15BB4DFA" w14:textId="77777777" w:rsidR="006774F4" w:rsidRDefault="006774F4" w:rsidP="00AA5586">
            <w:pPr>
              <w:spacing w:after="0" w:line="254" w:lineRule="auto"/>
              <w:jc w:val="center"/>
              <w:rPr>
                <w:b/>
                <w:bCs/>
              </w:rPr>
            </w:pPr>
            <w:r>
              <w:rPr>
                <w:b/>
                <w:bCs/>
                <w:sz w:val="19"/>
                <w:szCs w:val="19"/>
              </w:rPr>
              <w:t>ON-23</w:t>
            </w:r>
          </w:p>
        </w:tc>
      </w:tr>
      <w:tr w:rsidR="006774F4" w:rsidRPr="007B50E3" w14:paraId="631D3E5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B5BB66D"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8724711" w14:textId="77777777" w:rsidR="006774F4" w:rsidRPr="006774F4" w:rsidRDefault="006774F4" w:rsidP="00AA5586">
            <w:pPr>
              <w:spacing w:after="0" w:line="254" w:lineRule="auto"/>
              <w:rPr>
                <w:lang w:val="fr-FR"/>
              </w:rPr>
            </w:pPr>
            <w:r>
              <w:rPr>
                <w:sz w:val="19"/>
                <w:szCs w:val="19"/>
                <w:lang w:val="fr-CA"/>
              </w:rPr>
              <w:t xml:space="preserve">Ville de </w:t>
            </w:r>
            <w:proofErr w:type="gramStart"/>
            <w:r>
              <w:rPr>
                <w:sz w:val="19"/>
                <w:szCs w:val="19"/>
                <w:lang w:val="fr-CA"/>
              </w:rPr>
              <w:t>Toronto  ·</w:t>
            </w:r>
            <w:proofErr w:type="gramEnd"/>
            <w:r>
              <w:rPr>
                <w:sz w:val="19"/>
                <w:szCs w:val="19"/>
                <w:lang w:val="fr-CA"/>
              </w:rPr>
              <w:t xml:space="preserve">  Audit du vérificateur général municipal</w:t>
            </w:r>
          </w:p>
        </w:tc>
      </w:tr>
      <w:tr w:rsidR="006774F4" w:rsidRPr="006774F4" w14:paraId="756614D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3EDE11A"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7E19D8E" w14:textId="77777777" w:rsidR="006774F4" w:rsidRPr="006774F4" w:rsidRDefault="006774F4" w:rsidP="00AA5586">
            <w:pPr>
              <w:spacing w:after="0" w:line="254" w:lineRule="auto"/>
              <w:rPr>
                <w:lang w:val="fr-FR"/>
              </w:rPr>
            </w:pPr>
            <w:r>
              <w:rPr>
                <w:sz w:val="19"/>
                <w:szCs w:val="19"/>
                <w:lang w:val="fr-CA"/>
              </w:rPr>
              <w:t>Vérificateur général, Ville de Toronto</w:t>
            </w:r>
          </w:p>
        </w:tc>
      </w:tr>
      <w:tr w:rsidR="006774F4" w:rsidRPr="006774F4" w14:paraId="5053BD1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83A8E83"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97A3519" w14:textId="77777777" w:rsidR="006774F4" w:rsidRPr="006774F4" w:rsidRDefault="006774F4" w:rsidP="00AA5586">
            <w:pPr>
              <w:spacing w:after="0" w:line="254" w:lineRule="auto"/>
              <w:rPr>
                <w:lang w:val="fr-FR"/>
              </w:rPr>
            </w:pPr>
            <w:r>
              <w:rPr>
                <w:sz w:val="19"/>
                <w:szCs w:val="19"/>
                <w:lang w:val="fr-CA"/>
              </w:rPr>
              <w:t xml:space="preserve">Veiller à ce que les locataires de logements sociaux disposent de logements en bon état — Audit de la planification des immobilisations pour la réparation des immeubles de Toronto Community </w:t>
            </w:r>
            <w:proofErr w:type="spellStart"/>
            <w:r>
              <w:rPr>
                <w:sz w:val="19"/>
                <w:szCs w:val="19"/>
                <w:lang w:val="fr-CA"/>
              </w:rPr>
              <w:t>Housing</w:t>
            </w:r>
            <w:proofErr w:type="spellEnd"/>
            <w:r>
              <w:rPr>
                <w:sz w:val="19"/>
                <w:szCs w:val="19"/>
                <w:lang w:val="fr-CA"/>
              </w:rPr>
              <w:t xml:space="preserve"> Corporation, 2026</w:t>
            </w:r>
          </w:p>
        </w:tc>
      </w:tr>
      <w:tr w:rsidR="006774F4" w:rsidRPr="006774F4" w14:paraId="21D03F2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7895633"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BCA344" w14:textId="77777777" w:rsidR="006774F4" w:rsidRPr="006774F4" w:rsidRDefault="006774F4" w:rsidP="00AA5586">
            <w:pPr>
              <w:spacing w:after="0" w:line="254" w:lineRule="auto"/>
              <w:rPr>
                <w:lang w:val="fr-FR"/>
              </w:rPr>
            </w:pPr>
            <w:r>
              <w:rPr>
                <w:sz w:val="19"/>
                <w:szCs w:val="19"/>
                <w:lang w:val="fr-CA"/>
              </w:rPr>
              <w:t>Logement, portefeuille de logements sociaux</w:t>
            </w:r>
          </w:p>
        </w:tc>
      </w:tr>
      <w:tr w:rsidR="006774F4" w:rsidRPr="006774F4" w14:paraId="527A14D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D13474E" w14:textId="77777777" w:rsidR="006774F4" w:rsidRDefault="006774F4" w:rsidP="00AA5586">
            <w:pPr>
              <w:spacing w:after="0" w:line="254" w:lineRule="auto"/>
              <w:jc w:val="center"/>
            </w:pPr>
            <w:r>
              <w:rPr>
                <w:b/>
                <w:bCs/>
                <w:color w:val="1B3A6B"/>
                <w:sz w:val="19"/>
                <w:szCs w:val="19"/>
                <w:lang w:val="fr-CA"/>
              </w:rPr>
              <w:lastRenderedPageBreak/>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A36582" w14:textId="77777777" w:rsidR="006774F4" w:rsidRPr="006774F4" w:rsidRDefault="006774F4" w:rsidP="00AA5586">
            <w:pPr>
              <w:spacing w:after="0" w:line="254" w:lineRule="auto"/>
              <w:rPr>
                <w:lang w:val="fr-FR"/>
              </w:rPr>
            </w:pPr>
            <w:r>
              <w:rPr>
                <w:sz w:val="19"/>
                <w:szCs w:val="19"/>
                <w:lang w:val="fr-CA"/>
              </w:rPr>
              <w:t>Besoins de 4,6 milliards de dollars liés au maintien en bon état pour 2025 à 2034, comparativement à un budget de 2,3 milliards. Plus de 2,3 milliards de dollars consacrés aux réparations d’immeubles de 2018 à 2024.</w:t>
            </w:r>
          </w:p>
        </w:tc>
      </w:tr>
      <w:tr w:rsidR="006774F4" w:rsidRPr="006774F4" w14:paraId="1D0959E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07DD25F"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5FC59AE" w14:textId="77777777" w:rsidR="006774F4" w:rsidRPr="006774F4" w:rsidRDefault="006774F4" w:rsidP="00AA5586">
            <w:pPr>
              <w:spacing w:after="0" w:line="254" w:lineRule="auto"/>
              <w:rPr>
                <w:lang w:val="fr-FR"/>
              </w:rPr>
            </w:pPr>
            <w:r>
              <w:rPr>
                <w:sz w:val="19"/>
                <w:szCs w:val="19"/>
                <w:lang w:val="fr-CA"/>
              </w:rPr>
              <w:t>Il s’agit d’un déficit de financement plutôt que d’un dépassement de projet. À la fin de 2024, près de 415 millions de dollars de réparations visant des éléments en mauvais ou très mauvais état restaient à effectuer.</w:t>
            </w:r>
          </w:p>
        </w:tc>
      </w:tr>
      <w:tr w:rsidR="006774F4" w:rsidRPr="006774F4" w14:paraId="48784E5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AC9D546"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C078B4F" w14:textId="77777777" w:rsidR="006774F4" w:rsidRPr="006774F4" w:rsidRDefault="006774F4" w:rsidP="00AA5586">
            <w:pPr>
              <w:spacing w:after="0" w:line="254" w:lineRule="auto"/>
              <w:rPr>
                <w:lang w:val="fr-FR"/>
              </w:rPr>
            </w:pPr>
            <w:r>
              <w:rPr>
                <w:sz w:val="19"/>
                <w:szCs w:val="19"/>
                <w:lang w:val="fr-CA"/>
              </w:rPr>
              <w:t>L’indice de l’état des installations est passé de 15,6 % en 2019 à 11,8 % en 2024, mais devrait se détériorer pour atteindre 19,6 % d’ici 2035.</w:t>
            </w:r>
          </w:p>
        </w:tc>
      </w:tr>
      <w:tr w:rsidR="006774F4" w14:paraId="7479906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A61FDCD"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C528308" w14:textId="77777777" w:rsidR="006774F4" w:rsidRDefault="006774F4" w:rsidP="00AA5586">
            <w:pPr>
              <w:spacing w:after="0" w:line="254" w:lineRule="auto"/>
            </w:pPr>
            <w:r>
              <w:rPr>
                <w:sz w:val="19"/>
                <w:szCs w:val="19"/>
              </w:rPr>
              <w:t>C02, C07, C12</w:t>
            </w:r>
          </w:p>
        </w:tc>
      </w:tr>
      <w:tr w:rsidR="006774F4" w14:paraId="3BFED21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6A6096C"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AC4690C" w14:textId="77777777" w:rsidR="006774F4" w:rsidRDefault="006774F4" w:rsidP="00AA5586">
            <w:pPr>
              <w:spacing w:after="0" w:line="254" w:lineRule="auto"/>
              <w:rPr>
                <w:color w:val="auto"/>
                <w:sz w:val="19"/>
                <w:szCs w:val="19"/>
              </w:rPr>
            </w:pPr>
            <w:r>
              <w:rPr>
                <w:color w:val="auto"/>
                <w:sz w:val="19"/>
                <w:szCs w:val="19"/>
              </w:rPr>
              <w:t>Governance, Process, Technology</w:t>
            </w:r>
          </w:p>
        </w:tc>
      </w:tr>
    </w:tbl>
    <w:p w14:paraId="39CEA94D" w14:textId="77777777" w:rsidR="006774F4" w:rsidRDefault="006774F4" w:rsidP="006774F4">
      <w:pPr>
        <w:pStyle w:val="Heading2"/>
      </w:pPr>
      <w:bookmarkStart w:id="45" w:name="__RefHeading___Toc4799_3048004937"/>
      <w:bookmarkStart w:id="46" w:name="_Toc239750666"/>
      <w:bookmarkEnd w:id="45"/>
      <w:r>
        <w:rPr>
          <w:lang w:val="fr-CA"/>
        </w:rPr>
        <w:t>Ce qui s’est passé</w:t>
      </w:r>
      <w:bookmarkEnd w:id="46"/>
    </w:p>
    <w:p w14:paraId="4841CCDC" w14:textId="77777777" w:rsidR="006774F4" w:rsidRPr="006774F4" w:rsidRDefault="006774F4" w:rsidP="006774F4">
      <w:pPr>
        <w:rPr>
          <w:lang w:val="fr-FR"/>
        </w:rPr>
      </w:pPr>
      <w:r>
        <w:rPr>
          <w:lang w:val="fr-CA"/>
        </w:rPr>
        <w:t>Il ne s’agit pas d’un projet qui a mal tourné. Il s’agit d’un portefeuille géré à partir d’un chiffre auquel personne ne peut se fier entièrement, et c’est le cas de ce livre qui se rapproche le plus de la réalité dans laquelle évoluent la plupart des propriétaires canadiens.</w:t>
      </w:r>
    </w:p>
    <w:p w14:paraId="1F5CDE41" w14:textId="77777777" w:rsidR="006774F4" w:rsidRPr="006774F4" w:rsidRDefault="006774F4" w:rsidP="006774F4">
      <w:pPr>
        <w:rPr>
          <w:lang w:val="fr-FR"/>
        </w:rPr>
      </w:pPr>
      <w:r>
        <w:rPr>
          <w:lang w:val="fr-CA"/>
        </w:rPr>
        <w:t>TCHC tient une base de données sur l’état de bon entretien (SOGR). Elle tient également une liste évolutive de projets d’immobilisations potentiels, et la vérificatrice générale a constaté que les deux ne sont pas directement intégrées. Les estimations de la base de données ne sont pas mises à jour à mesure que progressent la conception et la réalisation. Par conséquent, l’arriéré déclaré et les sommes réellement nécessaires s’éloignent progressivement l’un de l’autre tout au long du cycle de vie des projets.</w:t>
      </w:r>
    </w:p>
    <w:p w14:paraId="48C71E48" w14:textId="77777777" w:rsidR="006774F4" w:rsidRPr="006774F4" w:rsidRDefault="006774F4" w:rsidP="006774F4">
      <w:pPr>
        <w:rPr>
          <w:lang w:val="fr-FR"/>
        </w:rPr>
      </w:pPr>
      <w:r>
        <w:rPr>
          <w:lang w:val="fr-CA"/>
        </w:rPr>
        <w:t>La conséquence est formulée clairement dans l’audit, et elle résume l’argument sur lequel repose tout ce livre. Lorsque des besoins critiques sont reportés, l’état des biens se dégrade et les défaillances finissent par nécessiter des interventions d’urgence, plus coûteuses que les travaux de renouvellement planifiés qui avaient été différés. Le déficit de financement n’est pas causé par le problème d’information. Il est toutefois aggravé par celui-ci et ne peut être mesuré avec précision tant que le problème persiste.</w:t>
      </w:r>
    </w:p>
    <w:p w14:paraId="19E1929D" w14:textId="77777777" w:rsidR="006774F4" w:rsidRDefault="006774F4" w:rsidP="006774F4">
      <w:pPr>
        <w:pStyle w:val="Heading2"/>
      </w:pPr>
      <w:bookmarkStart w:id="47" w:name="__RefHeading___Toc4801_3048004937"/>
      <w:bookmarkStart w:id="48" w:name="_Toc239750667"/>
      <w:bookmarkEnd w:id="47"/>
      <w:r>
        <w:rPr>
          <w:lang w:val="fr-CA"/>
        </w:rPr>
        <w:t>Constats du rapport</w:t>
      </w:r>
      <w:bookmarkEnd w:id="48"/>
    </w:p>
    <w:p w14:paraId="7DC25E6F" w14:textId="77777777" w:rsidR="006774F4" w:rsidRPr="006774F4" w:rsidRDefault="006774F4" w:rsidP="006774F4">
      <w:pPr>
        <w:pStyle w:val="ListParagraph"/>
        <w:numPr>
          <w:ilvl w:val="0"/>
          <w:numId w:val="11"/>
        </w:numPr>
        <w:spacing w:after="100" w:line="276" w:lineRule="auto"/>
        <w:contextualSpacing w:val="0"/>
        <w:rPr>
          <w:lang w:val="fr-FR"/>
        </w:rPr>
      </w:pPr>
      <w:r>
        <w:rPr>
          <w:sz w:val="21"/>
          <w:szCs w:val="21"/>
          <w:lang w:val="fr-CA"/>
        </w:rPr>
        <w:t>« Selon la base de données SOGR de TCHC, le financement disponible est insuffisant pour répondre à l’ensemble de l’arriéré SOGR et aux besoins à venir au cours des dix prochaines années »</w:t>
      </w:r>
    </w:p>
    <w:p w14:paraId="24ADBA84" w14:textId="77777777" w:rsidR="006774F4" w:rsidRPr="006774F4" w:rsidRDefault="006774F4" w:rsidP="006774F4">
      <w:pPr>
        <w:pStyle w:val="ListParagraph"/>
        <w:numPr>
          <w:ilvl w:val="0"/>
          <w:numId w:val="11"/>
        </w:numPr>
        <w:spacing w:after="100" w:line="276" w:lineRule="auto"/>
        <w:contextualSpacing w:val="0"/>
        <w:rPr>
          <w:lang w:val="fr-FR"/>
        </w:rPr>
      </w:pPr>
      <w:r>
        <w:rPr>
          <w:sz w:val="21"/>
          <w:szCs w:val="21"/>
          <w:lang w:val="fr-CA"/>
        </w:rPr>
        <w:t>« Les besoins globaux de TCHC en matière de SOGR sont également établis à partir d’autres intrants, notamment sa liste évolutive de projets d’immobilisations planifiés potentiels, qui n’est pas directement intégrée à la base de données SOGR »</w:t>
      </w:r>
    </w:p>
    <w:p w14:paraId="37D92CE6" w14:textId="77777777" w:rsidR="006774F4" w:rsidRPr="006774F4" w:rsidRDefault="006774F4" w:rsidP="006774F4">
      <w:pPr>
        <w:pStyle w:val="ListParagraph"/>
        <w:numPr>
          <w:ilvl w:val="0"/>
          <w:numId w:val="11"/>
        </w:numPr>
        <w:spacing w:after="100" w:line="276" w:lineRule="auto"/>
        <w:contextualSpacing w:val="0"/>
        <w:rPr>
          <w:lang w:val="fr-FR"/>
        </w:rPr>
      </w:pPr>
      <w:r>
        <w:rPr>
          <w:sz w:val="21"/>
          <w:szCs w:val="21"/>
          <w:lang w:val="fr-CA"/>
        </w:rPr>
        <w:t>« Comme les estimations ne sont pas mises à jour dans la base de données SOGR à mesure que progressent la conception, la planification et la réalisation des projets, il est difficile d’évaluer l’incidence de l’augmentation des coûts et des changements de portée sur la part de l’arriéré SOGR qui peut être traitée »</w:t>
      </w:r>
    </w:p>
    <w:p w14:paraId="219C5051" w14:textId="77777777" w:rsidR="006774F4" w:rsidRPr="006774F4" w:rsidRDefault="006774F4" w:rsidP="006774F4">
      <w:pPr>
        <w:pStyle w:val="ListParagraph"/>
        <w:numPr>
          <w:ilvl w:val="0"/>
          <w:numId w:val="11"/>
        </w:numPr>
        <w:spacing w:after="100" w:line="276" w:lineRule="auto"/>
        <w:contextualSpacing w:val="0"/>
        <w:rPr>
          <w:sz w:val="21"/>
          <w:szCs w:val="21"/>
          <w:lang w:val="fr-FR"/>
        </w:rPr>
      </w:pPr>
      <w:r>
        <w:rPr>
          <w:sz w:val="21"/>
          <w:szCs w:val="21"/>
          <w:lang w:val="fr-CA"/>
        </w:rPr>
        <w:lastRenderedPageBreak/>
        <w:t>« Lorsque des besoins critiques demeurent retardés ou ne sont pas traités, l’état des biens peut continuer à</w:t>
      </w:r>
    </w:p>
    <w:p w14:paraId="04C20853" w14:textId="77777777" w:rsidR="006774F4" w:rsidRPr="006774F4" w:rsidRDefault="006774F4" w:rsidP="006774F4">
      <w:pPr>
        <w:pStyle w:val="ListParagraph"/>
        <w:numPr>
          <w:ilvl w:val="0"/>
          <w:numId w:val="11"/>
        </w:numPr>
        <w:spacing w:after="100" w:line="276" w:lineRule="auto"/>
        <w:contextualSpacing w:val="0"/>
        <w:rPr>
          <w:lang w:val="fr-FR"/>
        </w:rPr>
      </w:pPr>
      <w:proofErr w:type="gramStart"/>
      <w:r>
        <w:rPr>
          <w:sz w:val="21"/>
          <w:szCs w:val="21"/>
          <w:lang w:val="fr-CA"/>
        </w:rPr>
        <w:t>se</w:t>
      </w:r>
      <w:proofErr w:type="gramEnd"/>
      <w:r>
        <w:rPr>
          <w:sz w:val="21"/>
          <w:szCs w:val="21"/>
          <w:lang w:val="fr-CA"/>
        </w:rPr>
        <w:t xml:space="preserve"> détériorer et des défaillances peuvent survenir; leur correction en urgence peut alors coûter davantage que des travaux de renouvellement planifiés »</w:t>
      </w:r>
    </w:p>
    <w:p w14:paraId="22C603EA" w14:textId="77777777" w:rsidR="006774F4" w:rsidRDefault="006774F4" w:rsidP="006774F4">
      <w:pPr>
        <w:pStyle w:val="Heading2"/>
      </w:pPr>
      <w:bookmarkStart w:id="49" w:name="__RefHeading___Toc4803_3048004937"/>
      <w:bookmarkEnd w:id="49"/>
      <w:r>
        <w:rPr>
          <w:lang w:val="fr-CA"/>
        </w:rPr>
        <w:t>Codes du projet</w:t>
      </w:r>
    </w:p>
    <w:tbl>
      <w:tblPr>
        <w:tblW w:w="10140" w:type="dxa"/>
        <w:tblLayout w:type="fixed"/>
        <w:tblCellMar>
          <w:top w:w="75" w:type="dxa"/>
          <w:left w:w="110" w:type="dxa"/>
          <w:bottom w:w="75" w:type="dxa"/>
          <w:right w:w="110" w:type="dxa"/>
        </w:tblCellMar>
        <w:tblLook w:val="0000" w:firstRow="0" w:lastRow="0" w:firstColumn="0" w:lastColumn="0" w:noHBand="0" w:noVBand="0"/>
      </w:tblPr>
      <w:tblGrid>
        <w:gridCol w:w="900"/>
        <w:gridCol w:w="5100"/>
        <w:gridCol w:w="1757"/>
        <w:gridCol w:w="2383"/>
      </w:tblGrid>
      <w:tr w:rsidR="006774F4" w14:paraId="268809B2" w14:textId="77777777" w:rsidTr="00AA5586">
        <w:trPr>
          <w:cantSplit/>
          <w:tblHeader/>
        </w:trPr>
        <w:tc>
          <w:tcPr>
            <w:tcW w:w="900" w:type="dxa"/>
            <w:tcBorders>
              <w:bottom w:val="single" w:sz="4" w:space="0" w:color="000000"/>
            </w:tcBorders>
            <w:shd w:val="clear" w:color="auto" w:fill="1B3A6B"/>
            <w:vAlign w:val="center"/>
          </w:tcPr>
          <w:p w14:paraId="2190DE7C"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vAlign w:val="center"/>
          </w:tcPr>
          <w:p w14:paraId="4DB3F08C" w14:textId="77777777" w:rsidR="006774F4" w:rsidRDefault="006774F4" w:rsidP="00AA5586">
            <w:pPr>
              <w:spacing w:after="0" w:line="254" w:lineRule="auto"/>
              <w:jc w:val="center"/>
            </w:pPr>
            <w:r>
              <w:rPr>
                <w:b/>
                <w:bCs/>
                <w:caps/>
                <w:color w:val="FFFFFF"/>
                <w:spacing w:val="16"/>
                <w:sz w:val="18"/>
                <w:szCs w:val="18"/>
                <w:lang w:val="fr-CA"/>
              </w:rPr>
              <w:t>Cause</w:t>
            </w:r>
          </w:p>
        </w:tc>
        <w:tc>
          <w:tcPr>
            <w:tcW w:w="1757" w:type="dxa"/>
            <w:tcBorders>
              <w:bottom w:val="single" w:sz="4" w:space="0" w:color="000000"/>
            </w:tcBorders>
            <w:shd w:val="clear" w:color="auto" w:fill="1B3A6B"/>
            <w:vAlign w:val="center"/>
          </w:tcPr>
          <w:p w14:paraId="0B1FF8DD"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383" w:type="dxa"/>
            <w:tcBorders>
              <w:bottom w:val="single" w:sz="4" w:space="0" w:color="000000"/>
            </w:tcBorders>
            <w:shd w:val="clear" w:color="auto" w:fill="1B3A6B"/>
            <w:vAlign w:val="center"/>
          </w:tcPr>
          <w:p w14:paraId="649AED21"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55D7133D"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E8AB0F" w14:textId="77777777" w:rsidR="006774F4" w:rsidRDefault="006774F4" w:rsidP="00AA5586">
            <w:pPr>
              <w:spacing w:after="0" w:line="254" w:lineRule="auto"/>
              <w:jc w:val="center"/>
            </w:pPr>
            <w:r>
              <w:rPr>
                <w:b/>
                <w:bCs/>
                <w:sz w:val="18"/>
                <w:szCs w:val="18"/>
              </w:rPr>
              <w:t>C02</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F73D89"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7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007781" w14:textId="77777777" w:rsidR="006774F4" w:rsidRDefault="006774F4" w:rsidP="00AA5586">
            <w:pPr>
              <w:spacing w:after="0" w:line="254" w:lineRule="auto"/>
              <w:jc w:val="center"/>
            </w:pPr>
            <w:r>
              <w:rPr>
                <w:b/>
                <w:bCs/>
                <w:color w:val="B85C30"/>
                <w:sz w:val="18"/>
                <w:szCs w:val="18"/>
                <w:lang w:val="fr-CA"/>
              </w:rPr>
              <w:t>20,0 %</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F55552" w14:textId="77777777" w:rsidR="006774F4" w:rsidRDefault="006774F4" w:rsidP="00AA5586">
            <w:pPr>
              <w:spacing w:after="0" w:line="254" w:lineRule="auto"/>
              <w:jc w:val="center"/>
            </w:pPr>
            <w:r>
              <w:rPr>
                <w:sz w:val="18"/>
                <w:szCs w:val="18"/>
              </w:rPr>
              <w:t>Process</w:t>
            </w:r>
          </w:p>
        </w:tc>
      </w:tr>
      <w:tr w:rsidR="006774F4" w14:paraId="692470C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09ECF1"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2D3B4F7"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757"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ED23248" w14:textId="77777777" w:rsidR="006774F4" w:rsidRDefault="006774F4" w:rsidP="00AA5586">
            <w:pPr>
              <w:spacing w:after="0" w:line="254" w:lineRule="auto"/>
              <w:jc w:val="center"/>
            </w:pPr>
            <w:r>
              <w:rPr>
                <w:b/>
                <w:bCs/>
                <w:color w:val="B85C30"/>
                <w:sz w:val="18"/>
                <w:szCs w:val="18"/>
                <w:lang w:val="fr-CA"/>
              </w:rPr>
              <w:t>29,1 %</w:t>
            </w:r>
          </w:p>
        </w:tc>
        <w:tc>
          <w:tcPr>
            <w:tcW w:w="2383"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0DFEA18" w14:textId="77777777" w:rsidR="006774F4" w:rsidRDefault="006774F4" w:rsidP="00AA5586">
            <w:pPr>
              <w:spacing w:after="0" w:line="254" w:lineRule="auto"/>
              <w:jc w:val="center"/>
            </w:pPr>
            <w:r>
              <w:rPr>
                <w:sz w:val="18"/>
                <w:szCs w:val="18"/>
              </w:rPr>
              <w:t>Technology</w:t>
            </w:r>
          </w:p>
        </w:tc>
      </w:tr>
      <w:tr w:rsidR="006774F4" w14:paraId="5DEDD02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08AA17"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71F59F"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7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E89040" w14:textId="77777777" w:rsidR="006774F4" w:rsidRDefault="006774F4" w:rsidP="00AA5586">
            <w:pPr>
              <w:spacing w:after="0" w:line="254" w:lineRule="auto"/>
              <w:jc w:val="center"/>
            </w:pPr>
            <w:r>
              <w:rPr>
                <w:b/>
                <w:bCs/>
                <w:color w:val="B85C30"/>
                <w:sz w:val="18"/>
                <w:szCs w:val="18"/>
                <w:lang w:val="fr-CA"/>
              </w:rPr>
              <w:t>34,5 %</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F2EFFF" w14:textId="77777777" w:rsidR="006774F4" w:rsidRDefault="006774F4" w:rsidP="00AA5586">
            <w:pPr>
              <w:spacing w:after="0" w:line="254" w:lineRule="auto"/>
              <w:jc w:val="center"/>
            </w:pPr>
            <w:r>
              <w:rPr>
                <w:sz w:val="18"/>
                <w:szCs w:val="18"/>
              </w:rPr>
              <w:t>Governance</w:t>
            </w:r>
          </w:p>
        </w:tc>
      </w:tr>
    </w:tbl>
    <w:p w14:paraId="0756F25D" w14:textId="77777777" w:rsidR="006774F4" w:rsidRDefault="006774F4" w:rsidP="006774F4"/>
    <w:p w14:paraId="2D9C81E0" w14:textId="77777777" w:rsidR="006774F4" w:rsidRPr="006774F4" w:rsidRDefault="006774F4" w:rsidP="006774F4">
      <w:pPr>
        <w:pStyle w:val="Heading2"/>
        <w:rPr>
          <w:lang w:val="fr-FR"/>
        </w:rPr>
      </w:pPr>
      <w:bookmarkStart w:id="50" w:name="__RefHeading___Toc4805_3048004937"/>
      <w:bookmarkStart w:id="51" w:name="_Toc239750669"/>
      <w:bookmarkEnd w:id="50"/>
      <w:r>
        <w:rPr>
          <w:lang w:val="fr-CA"/>
        </w:rPr>
        <w:t xml:space="preserve">Ce qu’une intervention de Clarity </w:t>
      </w:r>
      <w:proofErr w:type="spellStart"/>
      <w:r>
        <w:rPr>
          <w:lang w:val="fr-CA"/>
        </w:rPr>
        <w:t>Builders</w:t>
      </w:r>
      <w:proofErr w:type="spellEnd"/>
      <w:r>
        <w:rPr>
          <w:lang w:val="fr-CA"/>
        </w:rPr>
        <w:t xml:space="preserve"> aurait permis d’aborder</w:t>
      </w:r>
      <w:bookmarkEnd w:id="51"/>
    </w:p>
    <w:p w14:paraId="682F28AB" w14:textId="77777777" w:rsidR="006774F4" w:rsidRPr="006774F4" w:rsidRDefault="006774F4" w:rsidP="006774F4">
      <w:pPr>
        <w:pStyle w:val="ListParagraph"/>
        <w:numPr>
          <w:ilvl w:val="0"/>
          <w:numId w:val="18"/>
        </w:numPr>
        <w:spacing w:after="100" w:line="276" w:lineRule="auto"/>
        <w:contextualSpacing w:val="0"/>
        <w:rPr>
          <w:sz w:val="21"/>
          <w:szCs w:val="21"/>
          <w:lang w:val="fr-FR"/>
        </w:rPr>
      </w:pPr>
      <w:r>
        <w:rPr>
          <w:b/>
          <w:bCs/>
          <w:color w:val="1B3A6B"/>
          <w:sz w:val="21"/>
          <w:szCs w:val="21"/>
          <w:lang w:val="fr-CA"/>
        </w:rPr>
        <w:t xml:space="preserve">5.5 Information management design.  </w:t>
      </w:r>
      <w:r>
        <w:rPr>
          <w:sz w:val="21"/>
          <w:szCs w:val="21"/>
          <w:lang w:val="fr-CA"/>
        </w:rPr>
        <w:t>Lorsque deux systèmes contiennent de l’information sur le même bien sans communiquer entre eux, le problème relève de la conception du système d’information, et non de la saisie de données. Il faut définir un dossier de référence faisant autorité et faire en sorte que l’autre système en dérive.</w:t>
      </w:r>
    </w:p>
    <w:p w14:paraId="74380E18" w14:textId="77777777" w:rsidR="006774F4" w:rsidRPr="006774F4" w:rsidRDefault="006774F4" w:rsidP="006774F4">
      <w:pPr>
        <w:pStyle w:val="ListParagraph"/>
        <w:numPr>
          <w:ilvl w:val="0"/>
          <w:numId w:val="18"/>
        </w:numPr>
        <w:spacing w:after="100" w:line="276" w:lineRule="auto"/>
        <w:contextualSpacing w:val="0"/>
        <w:rPr>
          <w:sz w:val="21"/>
          <w:szCs w:val="21"/>
          <w:lang w:val="fr-FR"/>
        </w:rPr>
      </w:pPr>
      <w:r w:rsidRPr="006774F4">
        <w:rPr>
          <w:b/>
          <w:bCs/>
          <w:color w:val="1B3A6B"/>
          <w:sz w:val="21"/>
          <w:szCs w:val="21"/>
          <w:lang w:val="en-US"/>
        </w:rPr>
        <w:t xml:space="preserve">5.12 Classification and cost-data alignment.  </w:t>
      </w:r>
      <w:r>
        <w:rPr>
          <w:sz w:val="21"/>
          <w:szCs w:val="21"/>
          <w:lang w:val="fr-CA"/>
        </w:rPr>
        <w:t>Une estimation qui n’est pas mise à jour à mesure que la conception progresse pose un problème de classification et d’harmonisation des données de coûts : l’arriéré est exprimé à partir d’estimations de classe 5 alors que le programme dépense selon des coûts de classe 2.</w:t>
      </w:r>
    </w:p>
    <w:p w14:paraId="2581B717" w14:textId="77777777" w:rsidR="006774F4" w:rsidRPr="006774F4" w:rsidRDefault="006774F4" w:rsidP="006774F4">
      <w:pPr>
        <w:pStyle w:val="ListParagraph"/>
        <w:numPr>
          <w:ilvl w:val="0"/>
          <w:numId w:val="18"/>
        </w:numPr>
        <w:spacing w:after="100" w:line="276" w:lineRule="auto"/>
        <w:contextualSpacing w:val="0"/>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 xml:space="preserve">Ce segment a été ajouté au </w:t>
      </w:r>
      <w:proofErr w:type="spellStart"/>
      <w:r>
        <w:rPr>
          <w:sz w:val="21"/>
          <w:szCs w:val="21"/>
          <w:lang w:val="fr-CA"/>
        </w:rPr>
        <w:t>Grounded</w:t>
      </w:r>
      <w:proofErr w:type="spellEnd"/>
      <w:r>
        <w:rPr>
          <w:sz w:val="21"/>
          <w:szCs w:val="21"/>
          <w:lang w:val="fr-CA"/>
        </w:rPr>
        <w:t xml:space="preserve"> Diagnostic en août 2026, et ce cas montre pourquoi. Un arriéré qui ne peut être rapproché du budget ne fournit aucune base commune pour discuter du financement.</w:t>
      </w:r>
    </w:p>
    <w:p w14:paraId="7C59B74E" w14:textId="77777777" w:rsidR="006774F4" w:rsidRPr="006774F4" w:rsidRDefault="006774F4" w:rsidP="006774F4">
      <w:pPr>
        <w:pStyle w:val="Heading2"/>
        <w:rPr>
          <w:lang w:val="fr-FR"/>
        </w:rPr>
      </w:pPr>
      <w:bookmarkStart w:id="52" w:name="__RefHeading___Toc4807_3048004937"/>
      <w:bookmarkStart w:id="53" w:name="_Toc239750670"/>
      <w:bookmarkEnd w:id="52"/>
      <w:r>
        <w:rPr>
          <w:lang w:val="fr-CA"/>
        </w:rPr>
        <w:t>Scénario illustratif</w:t>
      </w:r>
      <w:bookmarkEnd w:id="53"/>
    </w:p>
    <w:p w14:paraId="18DA3641" w14:textId="77777777" w:rsidR="006774F4" w:rsidRPr="006774F4" w:rsidRDefault="006774F4" w:rsidP="006774F4">
      <w:pPr>
        <w:rPr>
          <w:lang w:val="fr-FR"/>
        </w:rPr>
      </w:pPr>
      <w:r>
        <w:rPr>
          <w:lang w:val="fr-CA"/>
        </w:rPr>
        <w:t>Aucun montant d’économies n’est avancé ici, car ce ne serait pas défendable. L’audit lui-même indique qu’il est actuellement impossible d’évaluer l’effet de la hausse des coûts et des changements de portée sur l’arriéré.</w:t>
      </w:r>
    </w:p>
    <w:p w14:paraId="06602C77" w14:textId="77777777" w:rsidR="006774F4" w:rsidRPr="006774F4" w:rsidRDefault="006774F4" w:rsidP="006774F4">
      <w:pPr>
        <w:rPr>
          <w:lang w:val="fr-FR"/>
        </w:rPr>
      </w:pPr>
      <w:r>
        <w:rPr>
          <w:lang w:val="fr-CA"/>
        </w:rPr>
        <w:t>Ce que l’on peut modéliser, c’est la direction du risque. Des informations incomplètes ou peu fiables sur les biens et leur état apparaissent dans 29,1 % des entrées canadiennes du registre, tandis que l’absence de prévision ou de financement des coûts du cycle de vie apparaît dans 34,5 %. Lorsque les deux sont présents, comme ici, l’arriéré publié constitue un plancher plutôt qu’une estimation. Un dossier intégré ne créerait pas de financement. Il permettrait toutefois au Conseil de défendre le bon montant.</w:t>
      </w:r>
    </w:p>
    <w:p w14:paraId="32968455" w14:textId="77777777" w:rsidR="006774F4" w:rsidRPr="006774F4" w:rsidRDefault="006774F4" w:rsidP="006774F4">
      <w:pPr>
        <w:pStyle w:val="Heading2"/>
        <w:rPr>
          <w:lang w:val="fr-FR"/>
        </w:rPr>
      </w:pPr>
      <w:bookmarkStart w:id="54" w:name="__RefHeading___Toc4809_3048004937"/>
      <w:bookmarkEnd w:id="54"/>
      <w:r>
        <w:rPr>
          <w:lang w:val="fr-CA"/>
        </w:rPr>
        <w:lastRenderedPageBreak/>
        <w:t>Contrefactuel</w:t>
      </w:r>
    </w:p>
    <w:p w14:paraId="535F8612" w14:textId="77777777" w:rsidR="006774F4" w:rsidRPr="006774F4" w:rsidRDefault="006774F4" w:rsidP="006774F4">
      <w:pPr>
        <w:keepNext/>
        <w:pBdr>
          <w:top w:val="single" w:sz="6" w:space="0" w:color="F2F4F7"/>
          <w:left w:val="single" w:sz="24" w:space="0" w:color="F2F4F7"/>
          <w:bottom w:val="single" w:sz="6" w:space="0" w:color="F2F4F7"/>
          <w:right w:val="single" w:sz="24" w:space="0" w:color="F2F4F7"/>
        </w:pBdr>
        <w:shd w:val="clear" w:color="auto" w:fill="F2F4F7"/>
        <w:spacing w:before="380" w:after="90"/>
        <w:rPr>
          <w:lang w:val="fr-FR"/>
        </w:rPr>
      </w:pPr>
      <w:r>
        <w:rPr>
          <w:sz w:val="21"/>
          <w:szCs w:val="21"/>
          <w:lang w:val="fr-CA"/>
        </w:rPr>
        <w:t>Nous n’affirmons pas qu’une meilleure information permettrait de combler un déficit de financement de 2,3 milliards de dollars. Ce ne serait pas le cas.</w:t>
      </w:r>
      <w:r>
        <w:rPr>
          <w:sz w:val="21"/>
          <w:szCs w:val="21"/>
          <w:lang w:val="fr-CA"/>
        </w:rPr>
        <w:br/>
        <w:t>Nous affirmons qu’un propriétaire dont la base de données sur l’arriéré et la liste de projets d’immobilisations ne sont pas intégrées ne peut connaître avec précision l’ampleur du déficit, et que la différence entre un chiffre défendable et un chiffre indicatif influence ce qu’un bailleur de fonds est prêt à entendre.</w:t>
      </w:r>
    </w:p>
    <w:p w14:paraId="12A74E89" w14:textId="77777777" w:rsidR="006774F4" w:rsidRPr="006774F4" w:rsidRDefault="006774F4" w:rsidP="006774F4">
      <w:pPr>
        <w:pStyle w:val="Heading1"/>
        <w:rPr>
          <w:b/>
          <w:bCs/>
          <w:lang w:val="fr-FR"/>
        </w:rPr>
      </w:pPr>
      <w:bookmarkStart w:id="55" w:name="__RefHeading___Toc4811_3048004937"/>
      <w:bookmarkEnd w:id="55"/>
      <w:r>
        <w:rPr>
          <w:b/>
          <w:bCs/>
          <w:lang w:val="fr-CA"/>
        </w:rPr>
        <w:t>Cas 4. Hôpital territorial Stanton</w:t>
      </w:r>
    </w:p>
    <w:p w14:paraId="377CAA1F" w14:textId="77777777" w:rsidR="006774F4" w:rsidRPr="006774F4" w:rsidRDefault="006774F4" w:rsidP="006774F4">
      <w:pPr>
        <w:keepNext/>
        <w:spacing w:before="210" w:after="150" w:line="290" w:lineRule="auto"/>
        <w:rPr>
          <w:b/>
          <w:bCs/>
          <w:color w:val="C45911" w:themeColor="accent2" w:themeShade="BF"/>
          <w:lang w:val="fr-FR"/>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2EFA4D27" w14:textId="77777777" w:rsidTr="00AA5586">
        <w:trPr>
          <w:cantSplit/>
        </w:trPr>
        <w:tc>
          <w:tcPr>
            <w:tcW w:w="2700" w:type="dxa"/>
            <w:tcBorders>
              <w:bottom w:val="single" w:sz="4" w:space="0" w:color="000000"/>
            </w:tcBorders>
            <w:shd w:val="clear" w:color="auto" w:fill="E2E8F0"/>
            <w:vAlign w:val="center"/>
          </w:tcPr>
          <w:p w14:paraId="4497449F"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tcPr>
          <w:p w14:paraId="7A306E09" w14:textId="77777777" w:rsidR="006774F4" w:rsidRDefault="006774F4" w:rsidP="00AA5586">
            <w:pPr>
              <w:spacing w:after="0" w:line="254" w:lineRule="auto"/>
              <w:jc w:val="center"/>
              <w:rPr>
                <w:b/>
                <w:bCs/>
                <w:sz w:val="19"/>
                <w:szCs w:val="19"/>
              </w:rPr>
            </w:pPr>
            <w:r>
              <w:rPr>
                <w:b/>
                <w:bCs/>
                <w:sz w:val="19"/>
                <w:szCs w:val="19"/>
              </w:rPr>
              <w:t>OAG Stanton</w:t>
            </w:r>
          </w:p>
        </w:tc>
      </w:tr>
      <w:tr w:rsidR="006774F4" w:rsidRPr="007B50E3" w14:paraId="15A49AA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36E8AA3"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2C97544" w14:textId="77777777" w:rsidR="006774F4" w:rsidRPr="006774F4" w:rsidRDefault="006774F4" w:rsidP="00AA5586">
            <w:pPr>
              <w:spacing w:after="0" w:line="254" w:lineRule="auto"/>
              <w:rPr>
                <w:lang w:val="fr-FR"/>
              </w:rPr>
            </w:pPr>
            <w:r>
              <w:rPr>
                <w:sz w:val="19"/>
                <w:szCs w:val="19"/>
                <w:lang w:val="fr-CA"/>
              </w:rPr>
              <w:t>Territoires du Nord-</w:t>
            </w:r>
            <w:proofErr w:type="gramStart"/>
            <w:r>
              <w:rPr>
                <w:sz w:val="19"/>
                <w:szCs w:val="19"/>
                <w:lang w:val="fr-CA"/>
              </w:rPr>
              <w:t>Ouest  ·</w:t>
            </w:r>
            <w:proofErr w:type="gramEnd"/>
            <w:r>
              <w:rPr>
                <w:sz w:val="19"/>
                <w:szCs w:val="19"/>
                <w:lang w:val="fr-CA"/>
              </w:rPr>
              <w:t xml:space="preserve">  Audit d’optimisation des ressources par le vérificateur législatif</w:t>
            </w:r>
          </w:p>
        </w:tc>
      </w:tr>
      <w:tr w:rsidR="006774F4" w:rsidRPr="006774F4" w14:paraId="7130D64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6CECB0B"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65049ED" w14:textId="77777777" w:rsidR="006774F4" w:rsidRPr="006774F4" w:rsidRDefault="006774F4" w:rsidP="00AA5586">
            <w:pPr>
              <w:spacing w:after="0" w:line="254" w:lineRule="auto"/>
              <w:rPr>
                <w:lang w:val="fr-FR"/>
              </w:rPr>
            </w:pPr>
            <w:r>
              <w:rPr>
                <w:sz w:val="19"/>
                <w:szCs w:val="19"/>
                <w:lang w:val="fr-CA"/>
              </w:rPr>
              <w:t>Bureau du vérificateur général du Canada, rapport à l’Assemblée législative des Territoires du Nord-Ouest</w:t>
            </w:r>
          </w:p>
        </w:tc>
      </w:tr>
      <w:tr w:rsidR="006774F4" w:rsidRPr="006774F4" w14:paraId="5BDF17F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99918B6"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15603DE" w14:textId="77777777" w:rsidR="006774F4" w:rsidRPr="006774F4" w:rsidRDefault="006774F4" w:rsidP="00AA5586">
            <w:pPr>
              <w:spacing w:after="0" w:line="254" w:lineRule="auto"/>
              <w:rPr>
                <w:lang w:val="fr-FR"/>
              </w:rPr>
            </w:pPr>
            <w:r>
              <w:rPr>
                <w:sz w:val="19"/>
                <w:szCs w:val="19"/>
                <w:lang w:val="fr-CA"/>
              </w:rPr>
              <w:t>Projet de renouvellement de l’Hôpital territorial Stanton, 2024</w:t>
            </w:r>
          </w:p>
        </w:tc>
      </w:tr>
      <w:tr w:rsidR="006774F4" w14:paraId="639E4B5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8A7410A"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376E78F" w14:textId="77777777" w:rsidR="006774F4" w:rsidRDefault="006774F4" w:rsidP="00AA5586">
            <w:pPr>
              <w:spacing w:after="0" w:line="254" w:lineRule="auto"/>
            </w:pPr>
            <w:r>
              <w:rPr>
                <w:sz w:val="19"/>
                <w:szCs w:val="19"/>
                <w:lang w:val="fr-CA"/>
              </w:rPr>
              <w:t>Installations de santé</w:t>
            </w:r>
          </w:p>
        </w:tc>
      </w:tr>
      <w:tr w:rsidR="006774F4" w:rsidRPr="006774F4" w14:paraId="6E36CC0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ABE16A3"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9773B9C" w14:textId="77777777" w:rsidR="006774F4" w:rsidRPr="006774F4" w:rsidRDefault="006774F4" w:rsidP="00AA5586">
            <w:pPr>
              <w:spacing w:after="0" w:line="254" w:lineRule="auto"/>
              <w:rPr>
                <w:lang w:val="fr-FR"/>
              </w:rPr>
            </w:pPr>
            <w:r>
              <w:rPr>
                <w:sz w:val="19"/>
                <w:szCs w:val="19"/>
                <w:lang w:val="fr-CA"/>
              </w:rPr>
              <w:t>Coûts réels et projetés totaux sur 30 ans d’environ 1,21 milliard de dollars en mars 2023</w:t>
            </w:r>
          </w:p>
        </w:tc>
      </w:tr>
      <w:tr w:rsidR="006774F4" w:rsidRPr="006774F4" w14:paraId="7D15308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73EFCA4"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66F0B66" w14:textId="77777777" w:rsidR="006774F4" w:rsidRPr="006774F4" w:rsidRDefault="006774F4" w:rsidP="00AA5586">
            <w:pPr>
              <w:spacing w:after="0" w:line="254" w:lineRule="auto"/>
              <w:rPr>
                <w:lang w:val="fr-FR"/>
              </w:rPr>
            </w:pPr>
            <w:r>
              <w:rPr>
                <w:sz w:val="19"/>
                <w:szCs w:val="19"/>
                <w:lang w:val="fr-CA"/>
              </w:rPr>
              <w:t>Dépassement de 62 % sur la base du cycle de vie de 30 ans, soit plus de 462 millions de dollars de coûts supplémentaires</w:t>
            </w:r>
          </w:p>
        </w:tc>
      </w:tr>
      <w:tr w:rsidR="006774F4" w:rsidRPr="006774F4" w14:paraId="78F4C47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0F2A6A5"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7EFE36D" w14:textId="77777777" w:rsidR="006774F4" w:rsidRPr="006774F4" w:rsidRDefault="006774F4" w:rsidP="00AA5586">
            <w:pPr>
              <w:spacing w:after="0" w:line="254" w:lineRule="auto"/>
              <w:rPr>
                <w:lang w:val="fr-FR"/>
              </w:rPr>
            </w:pPr>
            <w:r>
              <w:rPr>
                <w:sz w:val="19"/>
                <w:szCs w:val="19"/>
                <w:lang w:val="fr-CA"/>
              </w:rPr>
              <w:t>Non quantifié dans le sommaire</w:t>
            </w:r>
          </w:p>
        </w:tc>
      </w:tr>
      <w:tr w:rsidR="006774F4" w14:paraId="6DD87CF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122947F"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6A7C90C" w14:textId="77777777" w:rsidR="006774F4" w:rsidRDefault="006774F4" w:rsidP="00AA5586">
            <w:pPr>
              <w:spacing w:after="0" w:line="254" w:lineRule="auto"/>
            </w:pPr>
            <w:r>
              <w:rPr>
                <w:sz w:val="19"/>
                <w:szCs w:val="19"/>
              </w:rPr>
              <w:t>C01, C04, C06, C08, C09, C12</w:t>
            </w:r>
          </w:p>
        </w:tc>
      </w:tr>
      <w:tr w:rsidR="006774F4" w14:paraId="4D46FE5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53F04FF"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DAF6873" w14:textId="77777777" w:rsidR="006774F4" w:rsidRDefault="006774F4" w:rsidP="00AA5586">
            <w:pPr>
              <w:spacing w:after="0" w:line="254" w:lineRule="auto"/>
              <w:rPr>
                <w:color w:val="auto"/>
                <w:sz w:val="19"/>
                <w:szCs w:val="19"/>
              </w:rPr>
            </w:pPr>
            <w:r>
              <w:rPr>
                <w:color w:val="auto"/>
                <w:sz w:val="19"/>
                <w:szCs w:val="19"/>
              </w:rPr>
              <w:t>Contracts, Governance, Process</w:t>
            </w:r>
          </w:p>
        </w:tc>
      </w:tr>
    </w:tbl>
    <w:p w14:paraId="3798EF8E" w14:textId="77777777" w:rsidR="006774F4" w:rsidRDefault="006774F4" w:rsidP="006774F4">
      <w:pPr>
        <w:pStyle w:val="Heading2"/>
      </w:pPr>
      <w:bookmarkStart w:id="56" w:name="__RefHeading___Toc4813_3048004937"/>
      <w:bookmarkStart w:id="57" w:name="_Toc239750671"/>
      <w:bookmarkEnd w:id="56"/>
      <w:r>
        <w:rPr>
          <w:lang w:val="fr-CA"/>
        </w:rPr>
        <w:t>Ce qui s’est passé</w:t>
      </w:r>
      <w:bookmarkEnd w:id="57"/>
    </w:p>
    <w:p w14:paraId="012AF627" w14:textId="77777777" w:rsidR="006774F4" w:rsidRPr="006774F4" w:rsidRDefault="006774F4" w:rsidP="006774F4">
      <w:pPr>
        <w:rPr>
          <w:lang w:val="fr-FR"/>
        </w:rPr>
      </w:pPr>
      <w:r>
        <w:rPr>
          <w:lang w:val="fr-CA"/>
        </w:rPr>
        <w:t>Un territoire de 45 000 habitants s’est engagé dans un partenariat public-privé de 30 ans pour son principal hôpital. Le vérificateur général a constaté que l’analyse d’optimisation des ressources censée justifier cette décision n’avait pas été achevée et que, lorsque la portée a ensuite changé, le modèle n’a pas été réévalué en fonction de cette nouvelle portée.</w:t>
      </w:r>
    </w:p>
    <w:p w14:paraId="6831E84B" w14:textId="77777777" w:rsidR="006774F4" w:rsidRPr="006774F4" w:rsidRDefault="006774F4" w:rsidP="006774F4">
      <w:pPr>
        <w:rPr>
          <w:lang w:val="fr-FR"/>
        </w:rPr>
      </w:pPr>
      <w:r>
        <w:rPr>
          <w:lang w:val="fr-CA"/>
        </w:rPr>
        <w:t>Deux défaillances documentaires se trouvent sous cette décision. Les déclarations de conflits d’intérêts et les comptes rendus des échanges avec les soumissionnaires étaient absents du dossier d’approvisionnement. Les rôles et responsabilités des ministères des Finances, de l’Infrastructure et de la Santé et des Services sociaux n’étaient pas clairement définis; aucun organisme n’était donc pleinement responsable de la décision que le dossier devait étayer.</w:t>
      </w:r>
    </w:p>
    <w:p w14:paraId="5DA972F1" w14:textId="77777777" w:rsidR="006774F4" w:rsidRPr="006774F4" w:rsidRDefault="006774F4" w:rsidP="006774F4">
      <w:pPr>
        <w:rPr>
          <w:lang w:val="fr-FR"/>
        </w:rPr>
      </w:pPr>
      <w:r>
        <w:rPr>
          <w:lang w:val="fr-CA"/>
        </w:rPr>
        <w:lastRenderedPageBreak/>
        <w:t>C’est le chiffre qui retient l’attention. Les coûts réels et projetés sur 30 ans ont augmenté de 62 %, soit de plus de 462 millions de dollars, pour une décision qui n’avait jamais fait l’objet d’une analyse de valeur complète et qui n’a pas été réévaluée lorsque sa portée a changé.</w:t>
      </w:r>
    </w:p>
    <w:p w14:paraId="48AB69DB" w14:textId="77777777" w:rsidR="006774F4" w:rsidRDefault="006774F4" w:rsidP="006774F4">
      <w:pPr>
        <w:pStyle w:val="Heading2"/>
      </w:pPr>
      <w:bookmarkStart w:id="58" w:name="__RefHeading___Toc4815_3048004937"/>
      <w:bookmarkStart w:id="59" w:name="_Toc239750672"/>
      <w:bookmarkEnd w:id="58"/>
      <w:r>
        <w:rPr>
          <w:lang w:val="fr-CA"/>
        </w:rPr>
        <w:t>Constats du rapport</w:t>
      </w:r>
      <w:bookmarkEnd w:id="59"/>
    </w:p>
    <w:p w14:paraId="7308DC62" w14:textId="77777777" w:rsidR="006774F4" w:rsidRPr="006774F4" w:rsidRDefault="006774F4" w:rsidP="006774F4">
      <w:pPr>
        <w:pStyle w:val="ListParagraph"/>
        <w:numPr>
          <w:ilvl w:val="0"/>
          <w:numId w:val="22"/>
        </w:numPr>
        <w:spacing w:after="100" w:line="276" w:lineRule="auto"/>
        <w:contextualSpacing w:val="0"/>
        <w:rPr>
          <w:sz w:val="21"/>
          <w:szCs w:val="21"/>
          <w:lang w:val="fr-FR"/>
        </w:rPr>
      </w:pPr>
      <w:r>
        <w:rPr>
          <w:sz w:val="21"/>
          <w:szCs w:val="21"/>
          <w:lang w:val="fr-CA"/>
        </w:rPr>
        <w:t>« Les ministères et l’administration ont finalement accepté d’aller de l’avant avec un projet en partenariat public-privé sans déterminer si ce modèle offrait une meilleure optimisation des ressources »</w:t>
      </w:r>
    </w:p>
    <w:p w14:paraId="35FB9609" w14:textId="77777777" w:rsidR="006774F4" w:rsidRPr="006774F4" w:rsidRDefault="006774F4" w:rsidP="006774F4">
      <w:pPr>
        <w:pStyle w:val="ListParagraph"/>
        <w:numPr>
          <w:ilvl w:val="0"/>
          <w:numId w:val="22"/>
        </w:numPr>
        <w:spacing w:after="100" w:line="276" w:lineRule="auto"/>
        <w:contextualSpacing w:val="0"/>
        <w:rPr>
          <w:sz w:val="21"/>
          <w:szCs w:val="21"/>
          <w:lang w:val="fr-FR"/>
        </w:rPr>
      </w:pPr>
      <w:r>
        <w:rPr>
          <w:sz w:val="21"/>
          <w:szCs w:val="21"/>
          <w:lang w:val="fr-CA"/>
        </w:rPr>
        <w:t>« L’entente de PPP que les ministères et l’administration ont finalement mise en place l’a été sans réévaluer si une formule de PPP fondée sur la nouvelle portée du projet demeurait l’option offrant la meilleure optimisation des ressources »</w:t>
      </w:r>
    </w:p>
    <w:p w14:paraId="0FB7A99E" w14:textId="77777777" w:rsidR="006774F4" w:rsidRPr="006774F4" w:rsidRDefault="006774F4" w:rsidP="006774F4">
      <w:pPr>
        <w:pStyle w:val="ListParagraph"/>
        <w:numPr>
          <w:ilvl w:val="0"/>
          <w:numId w:val="22"/>
        </w:numPr>
        <w:spacing w:after="100" w:line="276" w:lineRule="auto"/>
        <w:contextualSpacing w:val="0"/>
        <w:rPr>
          <w:sz w:val="21"/>
          <w:szCs w:val="21"/>
          <w:lang w:val="fr-FR"/>
        </w:rPr>
      </w:pPr>
      <w:r>
        <w:rPr>
          <w:sz w:val="21"/>
          <w:szCs w:val="21"/>
          <w:lang w:val="fr-CA"/>
        </w:rPr>
        <w:t>« Des renseignements concernant les déclarations de conflits d’intérêts et les conversations avec les soumissionnaires étaient absents des dossiers d’approvisionnement des ministères et de l’administration »</w:t>
      </w:r>
    </w:p>
    <w:p w14:paraId="13F2DDC8" w14:textId="77777777" w:rsidR="006774F4" w:rsidRPr="006774F4" w:rsidRDefault="006774F4" w:rsidP="006774F4">
      <w:pPr>
        <w:pStyle w:val="ListParagraph"/>
        <w:numPr>
          <w:ilvl w:val="0"/>
          <w:numId w:val="22"/>
        </w:numPr>
        <w:spacing w:after="100" w:line="276" w:lineRule="auto"/>
        <w:contextualSpacing w:val="0"/>
        <w:rPr>
          <w:sz w:val="21"/>
          <w:szCs w:val="21"/>
          <w:lang w:val="fr-FR"/>
        </w:rPr>
      </w:pPr>
      <w:r>
        <w:rPr>
          <w:sz w:val="21"/>
          <w:szCs w:val="21"/>
          <w:lang w:val="fr-CA"/>
        </w:rPr>
        <w:t>« Les rôles et responsabilités des ministères des Finances, de l’Infrastructure et de la Santé et des Services sociaux n’étaient pas clairement définis »</w:t>
      </w:r>
    </w:p>
    <w:p w14:paraId="6732EACA" w14:textId="77777777" w:rsidR="006774F4" w:rsidRPr="006774F4" w:rsidRDefault="006774F4" w:rsidP="006774F4">
      <w:pPr>
        <w:pStyle w:val="ListParagraph"/>
        <w:numPr>
          <w:ilvl w:val="0"/>
          <w:numId w:val="22"/>
        </w:numPr>
        <w:spacing w:after="100" w:line="276" w:lineRule="auto"/>
        <w:contextualSpacing w:val="0"/>
        <w:rPr>
          <w:sz w:val="21"/>
          <w:szCs w:val="21"/>
          <w:lang w:val="fr-FR"/>
        </w:rPr>
      </w:pPr>
      <w:r>
        <w:rPr>
          <w:sz w:val="21"/>
          <w:szCs w:val="21"/>
          <w:lang w:val="fr-CA"/>
        </w:rPr>
        <w:t>« Nous avons estimé que les coûts réels et projetés sur la durée de vie de 30 ans du projet avaient augmenté ce montant de 62 %, pour dépasser 1,2 milliard de dollars à la fin de mars 2023 »</w:t>
      </w:r>
    </w:p>
    <w:p w14:paraId="27663CDF" w14:textId="77777777" w:rsidR="006774F4" w:rsidRDefault="006774F4" w:rsidP="006774F4">
      <w:pPr>
        <w:pStyle w:val="Heading2"/>
      </w:pPr>
      <w:bookmarkStart w:id="60" w:name="__RefHeading___Toc4817_3048004937"/>
      <w:bookmarkEnd w:id="60"/>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82"/>
        <w:gridCol w:w="2558"/>
      </w:tblGrid>
      <w:tr w:rsidR="006774F4" w14:paraId="40730340" w14:textId="77777777" w:rsidTr="00AA5586">
        <w:trPr>
          <w:cantSplit/>
          <w:tblHeader/>
        </w:trPr>
        <w:tc>
          <w:tcPr>
            <w:tcW w:w="900" w:type="dxa"/>
            <w:tcBorders>
              <w:bottom w:val="single" w:sz="4" w:space="0" w:color="000000"/>
            </w:tcBorders>
            <w:shd w:val="clear" w:color="auto" w:fill="1B3A6B"/>
          </w:tcPr>
          <w:p w14:paraId="183A09A9"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05915949" w14:textId="77777777" w:rsidR="006774F4" w:rsidRDefault="006774F4" w:rsidP="00AA5586">
            <w:pPr>
              <w:spacing w:after="0" w:line="254" w:lineRule="auto"/>
              <w:jc w:val="center"/>
            </w:pPr>
            <w:r>
              <w:rPr>
                <w:b/>
                <w:bCs/>
                <w:caps/>
                <w:color w:val="FFFFFF"/>
                <w:spacing w:val="16"/>
                <w:sz w:val="18"/>
                <w:szCs w:val="18"/>
                <w:lang w:val="fr-CA"/>
              </w:rPr>
              <w:t>Cause</w:t>
            </w:r>
          </w:p>
        </w:tc>
        <w:tc>
          <w:tcPr>
            <w:tcW w:w="1682" w:type="dxa"/>
            <w:tcBorders>
              <w:bottom w:val="single" w:sz="4" w:space="0" w:color="000000"/>
            </w:tcBorders>
            <w:shd w:val="clear" w:color="auto" w:fill="1B3A6B"/>
          </w:tcPr>
          <w:p w14:paraId="341B0489"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58" w:type="dxa"/>
            <w:tcBorders>
              <w:bottom w:val="single" w:sz="4" w:space="0" w:color="000000"/>
            </w:tcBorders>
            <w:shd w:val="clear" w:color="auto" w:fill="1B3A6B"/>
          </w:tcPr>
          <w:p w14:paraId="0B89CC65"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70EB518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508FCF" w14:textId="77777777" w:rsidR="006774F4" w:rsidRDefault="006774F4" w:rsidP="00AA5586">
            <w:pPr>
              <w:spacing w:after="0" w:line="254" w:lineRule="auto"/>
              <w:jc w:val="center"/>
            </w:pPr>
            <w:r>
              <w:rPr>
                <w:b/>
                <w:bCs/>
                <w:sz w:val="18"/>
                <w:szCs w:val="18"/>
              </w:rPr>
              <w:t>C01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A9BEB6"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05FCAB" w14:textId="77777777" w:rsidR="006774F4" w:rsidRDefault="006774F4" w:rsidP="00AA5586">
            <w:pPr>
              <w:spacing w:after="0" w:line="254" w:lineRule="auto"/>
              <w:jc w:val="center"/>
            </w:pPr>
            <w:r>
              <w:rPr>
                <w:b/>
                <w:bCs/>
                <w:color w:val="B85C30"/>
                <w:sz w:val="18"/>
                <w:szCs w:val="18"/>
                <w:lang w:val="fr-CA"/>
              </w:rPr>
              <w:t>29,1 %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BB20EF" w14:textId="77777777" w:rsidR="006774F4" w:rsidRDefault="006774F4" w:rsidP="00AA5586">
            <w:pPr>
              <w:spacing w:after="0" w:line="254" w:lineRule="auto"/>
              <w:jc w:val="center"/>
            </w:pPr>
            <w:r>
              <w:rPr>
                <w:sz w:val="18"/>
                <w:szCs w:val="18"/>
              </w:rPr>
              <w:t>Process</w:t>
            </w:r>
          </w:p>
        </w:tc>
      </w:tr>
      <w:tr w:rsidR="006774F4" w14:paraId="26E99830"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EA4A189"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CD5BC71"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EAB1352" w14:textId="77777777" w:rsidR="006774F4" w:rsidRDefault="006774F4" w:rsidP="00AA5586">
            <w:pPr>
              <w:spacing w:after="0" w:line="254" w:lineRule="auto"/>
              <w:jc w:val="center"/>
            </w:pPr>
            <w:r>
              <w:rPr>
                <w:b/>
                <w:bCs/>
                <w:color w:val="B85C30"/>
                <w:sz w:val="18"/>
                <w:szCs w:val="18"/>
                <w:lang w:val="fr-CA"/>
              </w:rPr>
              <w:t>36,4 %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10E337" w14:textId="77777777" w:rsidR="006774F4" w:rsidRDefault="006774F4" w:rsidP="00AA5586">
            <w:pPr>
              <w:spacing w:after="0" w:line="254" w:lineRule="auto"/>
              <w:jc w:val="center"/>
            </w:pPr>
            <w:r>
              <w:rPr>
                <w:sz w:val="18"/>
                <w:szCs w:val="18"/>
              </w:rPr>
              <w:t>Governance</w:t>
            </w:r>
          </w:p>
        </w:tc>
      </w:tr>
      <w:tr w:rsidR="006774F4" w14:paraId="272210B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802FCB"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B66E17"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AA3F0C" w14:textId="77777777" w:rsidR="006774F4" w:rsidRDefault="006774F4" w:rsidP="00AA5586">
            <w:pPr>
              <w:spacing w:after="0" w:line="254" w:lineRule="auto"/>
              <w:jc w:val="center"/>
            </w:pPr>
            <w:r>
              <w:rPr>
                <w:b/>
                <w:bCs/>
                <w:color w:val="B85C30"/>
                <w:sz w:val="18"/>
                <w:szCs w:val="18"/>
                <w:lang w:val="fr-CA"/>
              </w:rPr>
              <w:t>34,5 %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418F45" w14:textId="77777777" w:rsidR="006774F4" w:rsidRDefault="006774F4" w:rsidP="00AA5586">
            <w:pPr>
              <w:spacing w:after="0" w:line="254" w:lineRule="auto"/>
              <w:jc w:val="center"/>
            </w:pPr>
            <w:r>
              <w:rPr>
                <w:sz w:val="18"/>
                <w:szCs w:val="18"/>
              </w:rPr>
              <w:t>Governance</w:t>
            </w:r>
          </w:p>
        </w:tc>
      </w:tr>
      <w:tr w:rsidR="006774F4" w14:paraId="13C2AAD1"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0E86E0F"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FD32205"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1CCFB38" w14:textId="77777777" w:rsidR="006774F4" w:rsidRDefault="006774F4" w:rsidP="00AA5586">
            <w:pPr>
              <w:spacing w:after="0" w:line="254" w:lineRule="auto"/>
              <w:jc w:val="center"/>
            </w:pPr>
            <w:r>
              <w:rPr>
                <w:b/>
                <w:bCs/>
                <w:color w:val="B85C30"/>
                <w:sz w:val="18"/>
                <w:szCs w:val="18"/>
                <w:lang w:val="fr-CA"/>
              </w:rPr>
              <w:t>22,7 %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FCE98A4" w14:textId="77777777" w:rsidR="006774F4" w:rsidRDefault="006774F4" w:rsidP="00AA5586">
            <w:pPr>
              <w:spacing w:after="0" w:line="254" w:lineRule="auto"/>
              <w:jc w:val="center"/>
            </w:pPr>
            <w:r>
              <w:rPr>
                <w:sz w:val="18"/>
                <w:szCs w:val="18"/>
              </w:rPr>
              <w:t>Contracts</w:t>
            </w:r>
          </w:p>
        </w:tc>
      </w:tr>
      <w:tr w:rsidR="006774F4" w14:paraId="10867E5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1FC23C" w14:textId="77777777" w:rsidR="006774F4" w:rsidRDefault="006774F4" w:rsidP="00AA5586">
            <w:pPr>
              <w:spacing w:after="0" w:line="254" w:lineRule="auto"/>
              <w:jc w:val="center"/>
            </w:pPr>
            <w:r>
              <w:rPr>
                <w:b/>
                <w:bCs/>
                <w:sz w:val="18"/>
                <w:szCs w:val="18"/>
              </w:rPr>
              <w:t>C09</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B3504" w14:textId="77777777" w:rsidR="006774F4" w:rsidRPr="006774F4" w:rsidRDefault="006774F4" w:rsidP="00AA5586">
            <w:pPr>
              <w:spacing w:after="0" w:line="254" w:lineRule="auto"/>
              <w:rPr>
                <w:lang w:val="fr-FR"/>
              </w:rPr>
            </w:pPr>
            <w:r>
              <w:rPr>
                <w:sz w:val="18"/>
                <w:szCs w:val="18"/>
                <w:lang w:val="fr-CA"/>
              </w:rPr>
              <w:t>Intégrité ou équité de l’approvisionnement, ou conflits d’intérêts</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DD9D4B" w14:textId="77777777" w:rsidR="006774F4" w:rsidRDefault="006774F4" w:rsidP="00AA5586">
            <w:pPr>
              <w:spacing w:after="0" w:line="254" w:lineRule="auto"/>
              <w:jc w:val="center"/>
            </w:pPr>
            <w:r>
              <w:rPr>
                <w:b/>
                <w:bCs/>
                <w:color w:val="B85C30"/>
                <w:sz w:val="18"/>
                <w:szCs w:val="18"/>
                <w:lang w:val="fr-CA"/>
              </w:rPr>
              <w:t>10,0 %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E7FA9F" w14:textId="77777777" w:rsidR="006774F4" w:rsidRDefault="006774F4" w:rsidP="00AA5586">
            <w:pPr>
              <w:spacing w:after="0" w:line="254" w:lineRule="auto"/>
              <w:jc w:val="center"/>
            </w:pPr>
            <w:r>
              <w:rPr>
                <w:sz w:val="18"/>
                <w:szCs w:val="18"/>
              </w:rPr>
              <w:t>Contracts</w:t>
            </w:r>
          </w:p>
        </w:tc>
      </w:tr>
      <w:tr w:rsidR="006774F4" w14:paraId="75799D09" w14:textId="77777777" w:rsidTr="00AA5586">
        <w:trPr>
          <w:cantSplit/>
          <w:trHeight w:val="300"/>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2A92AD2"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EDC66A5"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85AB629" w14:textId="77777777" w:rsidR="006774F4" w:rsidRDefault="006774F4" w:rsidP="00AA5586">
            <w:pPr>
              <w:spacing w:after="0" w:line="254" w:lineRule="auto"/>
              <w:jc w:val="center"/>
            </w:pPr>
            <w:r>
              <w:rPr>
                <w:b/>
                <w:bCs/>
                <w:color w:val="B85C30"/>
                <w:sz w:val="18"/>
                <w:szCs w:val="18"/>
                <w:lang w:val="fr-CA"/>
              </w:rPr>
              <w:t>34,5 %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B0B2439" w14:textId="77777777" w:rsidR="006774F4" w:rsidRDefault="006774F4" w:rsidP="00AA5586">
            <w:pPr>
              <w:spacing w:after="0" w:line="254" w:lineRule="auto"/>
              <w:jc w:val="center"/>
            </w:pPr>
            <w:r>
              <w:rPr>
                <w:sz w:val="18"/>
                <w:szCs w:val="18"/>
              </w:rPr>
              <w:t>Governance</w:t>
            </w:r>
          </w:p>
        </w:tc>
      </w:tr>
    </w:tbl>
    <w:p w14:paraId="558A45B3" w14:textId="77777777" w:rsidR="006774F4" w:rsidRPr="006774F4" w:rsidRDefault="006774F4" w:rsidP="006774F4">
      <w:pPr>
        <w:pStyle w:val="Heading2"/>
        <w:rPr>
          <w:lang w:val="fr-FR"/>
        </w:rPr>
      </w:pPr>
      <w:bookmarkStart w:id="61" w:name="__RefHeading___Toc4819_3048004937"/>
      <w:bookmarkStart w:id="62" w:name="_Toc239750674"/>
      <w:bookmarkEnd w:id="61"/>
      <w:r>
        <w:rPr>
          <w:lang w:val="fr-CA"/>
        </w:rPr>
        <w:t xml:space="preserve">Ce qu’une intervention de Clarity </w:t>
      </w:r>
      <w:proofErr w:type="spellStart"/>
      <w:r>
        <w:rPr>
          <w:lang w:val="fr-CA"/>
        </w:rPr>
        <w:t>Builders</w:t>
      </w:r>
      <w:proofErr w:type="spellEnd"/>
      <w:r>
        <w:rPr>
          <w:lang w:val="fr-CA"/>
        </w:rPr>
        <w:t xml:space="preserve"> aurait permis d’aborder</w:t>
      </w:r>
      <w:bookmarkEnd w:id="62"/>
    </w:p>
    <w:p w14:paraId="34A0BF5E" w14:textId="77777777" w:rsidR="006774F4" w:rsidRPr="006774F4" w:rsidRDefault="006774F4" w:rsidP="006774F4">
      <w:pPr>
        <w:pStyle w:val="ListParagraph"/>
        <w:numPr>
          <w:ilvl w:val="0"/>
          <w:numId w:val="25"/>
        </w:numPr>
        <w:spacing w:after="100" w:line="276" w:lineRule="auto"/>
        <w:contextualSpacing w:val="0"/>
        <w:rPr>
          <w:sz w:val="21"/>
          <w:szCs w:val="21"/>
          <w:lang w:val="fr-FR"/>
        </w:rPr>
      </w:pPr>
      <w:r>
        <w:rPr>
          <w:b/>
          <w:bCs/>
          <w:color w:val="1B3A6B"/>
          <w:sz w:val="21"/>
          <w:szCs w:val="21"/>
          <w:lang w:val="fr-CA"/>
        </w:rPr>
        <w:t xml:space="preserve">5.8 Portfolio digital </w:t>
      </w:r>
      <w:proofErr w:type="spellStart"/>
      <w:r>
        <w:rPr>
          <w:b/>
          <w:bCs/>
          <w:color w:val="1B3A6B"/>
          <w:sz w:val="21"/>
          <w:szCs w:val="21"/>
          <w:lang w:val="fr-CA"/>
        </w:rPr>
        <w:t>delivery</w:t>
      </w:r>
      <w:proofErr w:type="spellEnd"/>
      <w:r>
        <w:rPr>
          <w:b/>
          <w:bCs/>
          <w:color w:val="1B3A6B"/>
          <w:sz w:val="21"/>
          <w:szCs w:val="21"/>
          <w:lang w:val="fr-CA"/>
        </w:rPr>
        <w:t xml:space="preserve"> </w:t>
      </w:r>
      <w:proofErr w:type="spellStart"/>
      <w:r>
        <w:rPr>
          <w:b/>
          <w:bCs/>
          <w:color w:val="1B3A6B"/>
          <w:sz w:val="21"/>
          <w:szCs w:val="21"/>
          <w:lang w:val="fr-CA"/>
        </w:rPr>
        <w:t>strategy</w:t>
      </w:r>
      <w:proofErr w:type="spellEnd"/>
      <w:r>
        <w:rPr>
          <w:b/>
          <w:bCs/>
          <w:color w:val="1B3A6B"/>
          <w:sz w:val="21"/>
          <w:szCs w:val="21"/>
          <w:lang w:val="fr-CA"/>
        </w:rPr>
        <w:t xml:space="preserve">.  </w:t>
      </w:r>
      <w:r>
        <w:rPr>
          <w:sz w:val="21"/>
          <w:szCs w:val="21"/>
          <w:lang w:val="fr-CA"/>
        </w:rPr>
        <w:t>Le choix d’un modèle de réalisation est d’abord une décision de portefeuille avant d’être une décision de projet. Le travail stratégique détermine qui est responsable de ce choix et sur quelles preuves il doit s’appuyer.</w:t>
      </w:r>
    </w:p>
    <w:p w14:paraId="15DA3CBD" w14:textId="77777777" w:rsidR="006774F4" w:rsidRPr="006774F4" w:rsidRDefault="006774F4" w:rsidP="006774F4">
      <w:pPr>
        <w:pStyle w:val="ListParagraph"/>
        <w:numPr>
          <w:ilvl w:val="0"/>
          <w:numId w:val="25"/>
        </w:numPr>
        <w:spacing w:after="100" w:line="276" w:lineRule="auto"/>
        <w:contextualSpacing w:val="0"/>
        <w:rPr>
          <w:sz w:val="21"/>
          <w:szCs w:val="21"/>
          <w:lang w:val="fr-FR"/>
        </w:rPr>
      </w:pPr>
      <w:r>
        <w:rPr>
          <w:b/>
          <w:bCs/>
          <w:color w:val="1B3A6B"/>
          <w:sz w:val="21"/>
          <w:szCs w:val="21"/>
          <w:lang w:val="fr-CA"/>
        </w:rPr>
        <w:lastRenderedPageBreak/>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Les déclarations de conflits d’intérêts et les comptes rendus des échanges avec les soumissionnaires constituent des exigences d’information assorties de règles de conservation. Leur absence n’est pas un simple oubli : elle révèle une exigence qui n’a pas été définie.</w:t>
      </w:r>
    </w:p>
    <w:p w14:paraId="7058CBFD" w14:textId="77777777" w:rsidR="006774F4" w:rsidRPr="006774F4" w:rsidRDefault="006774F4" w:rsidP="006774F4">
      <w:pPr>
        <w:pStyle w:val="ListParagraph"/>
        <w:numPr>
          <w:ilvl w:val="0"/>
          <w:numId w:val="25"/>
        </w:numPr>
        <w:spacing w:after="100" w:line="276" w:lineRule="auto"/>
        <w:contextualSpacing w:val="0"/>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Un coût calculé sur un cycle de vie de 30 ans constitue, par définition, une prévision d’exploitation qui doit accompagner la décision d’investissement. Ce cas illustre précisément la raison d’être de ce segment.</w:t>
      </w:r>
    </w:p>
    <w:p w14:paraId="1996A4FE" w14:textId="77777777" w:rsidR="006774F4" w:rsidRPr="006774F4" w:rsidRDefault="006774F4" w:rsidP="006774F4">
      <w:pPr>
        <w:pStyle w:val="Heading2"/>
        <w:rPr>
          <w:lang w:val="fr-FR"/>
        </w:rPr>
      </w:pPr>
      <w:bookmarkStart w:id="63" w:name="__RefHeading___Toc4821_3048004937"/>
      <w:bookmarkStart w:id="64" w:name="_Toc239750675"/>
      <w:bookmarkEnd w:id="63"/>
      <w:r>
        <w:rPr>
          <w:lang w:val="fr-CA"/>
        </w:rPr>
        <w:t>Scénario illustratif</w:t>
      </w:r>
      <w:bookmarkEnd w:id="64"/>
    </w:p>
    <w:p w14:paraId="43447652" w14:textId="77777777" w:rsidR="006774F4" w:rsidRPr="006774F4" w:rsidRDefault="006774F4" w:rsidP="006774F4">
      <w:pPr>
        <w:rPr>
          <w:lang w:val="fr-FR"/>
        </w:rPr>
      </w:pPr>
      <w:r>
        <w:rPr>
          <w:lang w:val="fr-CA"/>
        </w:rPr>
        <w:t>Les 462 millions de dollars correspondent au montant indiqué par le vérificateur général pour l’augmentation sur 30 ans. Nous n’en attribuons aucune part à des économies qui auraient pu être évitées, puisque l’audit ne ventile pas ce montant et que nous ne pouvons pas le faire davantage.</w:t>
      </w:r>
    </w:p>
    <w:p w14:paraId="347BFDA8" w14:textId="77777777" w:rsidR="006774F4" w:rsidRPr="006774F4" w:rsidRDefault="006774F4" w:rsidP="006774F4">
      <w:pPr>
        <w:rPr>
          <w:lang w:val="fr-FR"/>
        </w:rPr>
      </w:pPr>
      <w:r>
        <w:rPr>
          <w:lang w:val="fr-CA"/>
        </w:rPr>
        <w:t>Le scénario illustratif porte sur la décision, et non sur le montant. Trois ministères se partageaient une décision dont aucun n’était pleinement responsable, selon un modèle qui n’avait jamais fait l’objet d’une analyse d’optimisation des ressources, dans un dossier où manquaient les documents liés à l’intégrité du processus. L’absence ou le retard d’une assurance indépendante apparaît dans 20,9 % des entrées canadiennes du registre. Lorsqu’elle manque dans le cadre d’un engagement de 30 ans, le risque n’est pas seulement le dépassement de coûts : c’est l’impossibilité de déterminer, après coup, si ce dépassement aurait pu être évité.</w:t>
      </w:r>
    </w:p>
    <w:p w14:paraId="13BEF604" w14:textId="77777777" w:rsidR="006774F4" w:rsidRPr="006774F4" w:rsidRDefault="006774F4" w:rsidP="006774F4">
      <w:pPr>
        <w:pStyle w:val="Heading2"/>
        <w:spacing w:after="90"/>
        <w:rPr>
          <w:lang w:val="fr-FR"/>
        </w:rPr>
      </w:pPr>
      <w:bookmarkStart w:id="65" w:name="__RefHeading___Toc4823_3048004937"/>
      <w:bookmarkEnd w:id="65"/>
      <w:r>
        <w:rPr>
          <w:lang w:val="fr-CA"/>
        </w:rPr>
        <w:t>Contrefactuel</w:t>
      </w:r>
    </w:p>
    <w:p w14:paraId="1FF0C515" w14:textId="77777777" w:rsidR="006774F4" w:rsidRPr="006774F4" w:rsidRDefault="006774F4" w:rsidP="006774F4">
      <w:pPr>
        <w:keepNext/>
        <w:pBdr>
          <w:top w:val="single" w:sz="6" w:space="0" w:color="F2F4F7"/>
          <w:left w:val="single" w:sz="24" w:space="0" w:color="F2F4F7"/>
          <w:bottom w:val="single" w:sz="6" w:space="0" w:color="F2F4F7"/>
          <w:right w:val="single" w:sz="24" w:space="0" w:color="F2F4F7"/>
        </w:pBdr>
        <w:shd w:val="clear" w:color="auto" w:fill="F2F4F7"/>
        <w:spacing w:after="50"/>
        <w:rPr>
          <w:lang w:val="fr-FR"/>
        </w:rPr>
      </w:pPr>
      <w:r>
        <w:rPr>
          <w:sz w:val="21"/>
          <w:szCs w:val="21"/>
          <w:lang w:val="fr-CA"/>
        </w:rPr>
        <w:t>Nous n’affirmons pas que le PPP était le mauvais modèle pour Stanton. L’audit ne le dit pas non plus, et il ne pouvait pas le déterminer puisque l’analyse nécessaire pour répondre à cette question n’a jamais été réalisée.</w:t>
      </w:r>
    </w:p>
    <w:p w14:paraId="72C570FF"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 engagement de 30 ans pris sans analyse d’optimisation des ressources complète, puis dont la portée a été modifiée sans nouvelle analyse, reposait sur de l’information qui n’avait jamais été réunie.</w:t>
      </w:r>
    </w:p>
    <w:p w14:paraId="1B8CD396" w14:textId="77777777" w:rsidR="006774F4" w:rsidRPr="006774F4" w:rsidRDefault="006774F4" w:rsidP="006774F4">
      <w:pPr>
        <w:pStyle w:val="Heading1"/>
        <w:rPr>
          <w:b/>
          <w:bCs/>
          <w:color w:val="1B3A6B"/>
          <w:sz w:val="28"/>
          <w:szCs w:val="28"/>
          <w:lang w:val="fr-FR"/>
        </w:rPr>
      </w:pPr>
      <w:bookmarkStart w:id="66" w:name="__RefHeading___Toc4825_3048004937"/>
      <w:bookmarkStart w:id="67" w:name="_Toc239750676"/>
      <w:bookmarkEnd w:id="66"/>
      <w:r>
        <w:rPr>
          <w:b/>
          <w:bCs/>
          <w:lang w:val="fr-CA"/>
        </w:rPr>
        <w:t>Cas 5.  Le portefeuille fédéral de locaux à bureaux</w:t>
      </w:r>
      <w:bookmarkEnd w:id="67"/>
    </w:p>
    <w:p w14:paraId="049DD92B"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1CBDAFCD" w14:textId="77777777" w:rsidTr="00AA5586">
        <w:trPr>
          <w:cantSplit/>
        </w:trPr>
        <w:tc>
          <w:tcPr>
            <w:tcW w:w="2700" w:type="dxa"/>
            <w:tcBorders>
              <w:bottom w:val="single" w:sz="4" w:space="0" w:color="000000"/>
            </w:tcBorders>
            <w:shd w:val="clear" w:color="auto" w:fill="E2E8F0"/>
            <w:vAlign w:val="center"/>
          </w:tcPr>
          <w:p w14:paraId="36A0F886"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tcPr>
          <w:p w14:paraId="586B0578" w14:textId="77777777" w:rsidR="006774F4" w:rsidRDefault="006774F4" w:rsidP="00AA5586">
            <w:pPr>
              <w:spacing w:after="0" w:line="254" w:lineRule="auto"/>
              <w:jc w:val="center"/>
              <w:rPr>
                <w:b/>
                <w:bCs/>
                <w:sz w:val="19"/>
                <w:szCs w:val="19"/>
              </w:rPr>
            </w:pPr>
            <w:r>
              <w:rPr>
                <w:b/>
                <w:bCs/>
                <w:sz w:val="19"/>
                <w:szCs w:val="19"/>
              </w:rPr>
              <w:t>FED-03</w:t>
            </w:r>
          </w:p>
        </w:tc>
      </w:tr>
      <w:tr w:rsidR="006774F4" w:rsidRPr="007B50E3" w14:paraId="0DA85D1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40E11D5"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ACEE15D" w14:textId="77777777" w:rsidR="006774F4" w:rsidRPr="006774F4" w:rsidRDefault="006774F4" w:rsidP="00AA5586">
            <w:pPr>
              <w:spacing w:after="0" w:line="254" w:lineRule="auto"/>
              <w:rPr>
                <w:lang w:val="fr-FR"/>
              </w:rPr>
            </w:pPr>
            <w:proofErr w:type="gramStart"/>
            <w:r>
              <w:rPr>
                <w:sz w:val="19"/>
                <w:szCs w:val="19"/>
                <w:lang w:val="fr-CA"/>
              </w:rPr>
              <w:t>Canada  ·</w:t>
            </w:r>
            <w:proofErr w:type="gramEnd"/>
            <w:r>
              <w:rPr>
                <w:sz w:val="19"/>
                <w:szCs w:val="19"/>
                <w:lang w:val="fr-CA"/>
              </w:rPr>
              <w:t xml:space="preserve">  Audit d’optimisation des ressources par le vérificateur législatif</w:t>
            </w:r>
          </w:p>
        </w:tc>
      </w:tr>
      <w:tr w:rsidR="006774F4" w:rsidRPr="006774F4" w14:paraId="165F4C6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F090172"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7893912" w14:textId="77777777" w:rsidR="006774F4" w:rsidRPr="006774F4" w:rsidRDefault="006774F4" w:rsidP="00AA5586">
            <w:pPr>
              <w:spacing w:after="0" w:line="254" w:lineRule="auto"/>
              <w:rPr>
                <w:lang w:val="fr-FR"/>
              </w:rPr>
            </w:pPr>
            <w:r>
              <w:rPr>
                <w:sz w:val="19"/>
                <w:szCs w:val="19"/>
                <w:lang w:val="fr-CA"/>
              </w:rPr>
              <w:t>Bureau du vérificateur général du Canada</w:t>
            </w:r>
          </w:p>
        </w:tc>
      </w:tr>
      <w:tr w:rsidR="006774F4" w:rsidRPr="006774F4" w14:paraId="04E2584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10284E6"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B14CF6" w14:textId="77777777" w:rsidR="006774F4" w:rsidRPr="006774F4" w:rsidRDefault="006774F4" w:rsidP="00AA5586">
            <w:pPr>
              <w:spacing w:after="0" w:line="254" w:lineRule="auto"/>
              <w:rPr>
                <w:lang w:val="fr-FR"/>
              </w:rPr>
            </w:pPr>
            <w:r>
              <w:rPr>
                <w:sz w:val="19"/>
                <w:szCs w:val="19"/>
                <w:lang w:val="fr-CA"/>
              </w:rPr>
              <w:t>Rapport 3 — Utilisation actuelle et future des locaux à bureaux fédéraux, 2025</w:t>
            </w:r>
          </w:p>
        </w:tc>
      </w:tr>
      <w:tr w:rsidR="006774F4" w:rsidRPr="006774F4" w14:paraId="308E918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A626121" w14:textId="77777777" w:rsidR="006774F4" w:rsidRDefault="006774F4" w:rsidP="00AA5586">
            <w:pPr>
              <w:spacing w:after="0" w:line="254" w:lineRule="auto"/>
              <w:jc w:val="center"/>
            </w:pPr>
            <w:r>
              <w:rPr>
                <w:b/>
                <w:bCs/>
                <w:color w:val="1B3A6B"/>
                <w:sz w:val="19"/>
                <w:szCs w:val="19"/>
                <w:lang w:val="fr-CA"/>
              </w:rPr>
              <w:lastRenderedPageBreak/>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35230E" w14:textId="77777777" w:rsidR="006774F4" w:rsidRPr="006774F4" w:rsidRDefault="006774F4" w:rsidP="00AA5586">
            <w:pPr>
              <w:spacing w:after="0" w:line="254" w:lineRule="auto"/>
              <w:rPr>
                <w:lang w:val="fr-FR"/>
              </w:rPr>
            </w:pPr>
            <w:r>
              <w:rPr>
                <w:sz w:val="19"/>
                <w:szCs w:val="19"/>
                <w:lang w:val="fr-CA"/>
              </w:rPr>
              <w:t>Biens immobiliers gouvernementaux à usage de bureaux</w:t>
            </w:r>
          </w:p>
        </w:tc>
      </w:tr>
      <w:tr w:rsidR="006774F4" w:rsidRPr="006774F4" w14:paraId="34E0932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870A4ED"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474189A" w14:textId="77777777" w:rsidR="006774F4" w:rsidRPr="006774F4" w:rsidRDefault="006774F4" w:rsidP="00AA5586">
            <w:pPr>
              <w:spacing w:after="0" w:line="254" w:lineRule="auto"/>
              <w:rPr>
                <w:lang w:val="fr-FR"/>
              </w:rPr>
            </w:pPr>
            <w:r>
              <w:rPr>
                <w:sz w:val="19"/>
                <w:szCs w:val="19"/>
                <w:lang w:val="fr-CA"/>
              </w:rPr>
              <w:t>Environ 5,9 millions de mètres carrés louables. En 2023-2024, les coûts d’entretien et d’exploitation ainsi que les paiements tenant lieu d’impôts s’élevaient à environ 2,14 milliards de dollars.</w:t>
            </w:r>
          </w:p>
        </w:tc>
      </w:tr>
      <w:tr w:rsidR="006774F4" w:rsidRPr="006774F4" w14:paraId="3B867E0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67921E5"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0161DEB" w14:textId="77777777" w:rsidR="006774F4" w:rsidRPr="006774F4" w:rsidRDefault="006774F4" w:rsidP="00AA5586">
            <w:pPr>
              <w:spacing w:after="0" w:line="254" w:lineRule="auto"/>
              <w:rPr>
                <w:lang w:val="fr-FR"/>
              </w:rPr>
            </w:pPr>
            <w:r>
              <w:rPr>
                <w:sz w:val="19"/>
                <w:szCs w:val="19"/>
                <w:lang w:val="fr-CA"/>
              </w:rPr>
              <w:t>Il ne s’agit pas d’un dépassement. Des économies projetées d’environ 3,9 milliards de dollars sur 10 ans sont à risque, puisque la réduction prévue est maintenant de 33 % plutôt que de 50 %.</w:t>
            </w:r>
          </w:p>
        </w:tc>
      </w:tr>
      <w:tr w:rsidR="006774F4" w:rsidRPr="006774F4" w14:paraId="72B4A26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19E0BEB"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73BF863" w14:textId="77777777" w:rsidR="006774F4" w:rsidRPr="006774F4" w:rsidRDefault="006774F4" w:rsidP="00AA5586">
            <w:pPr>
              <w:spacing w:after="0" w:line="254" w:lineRule="auto"/>
              <w:rPr>
                <w:lang w:val="fr-FR"/>
              </w:rPr>
            </w:pPr>
            <w:r>
              <w:rPr>
                <w:sz w:val="19"/>
                <w:szCs w:val="19"/>
                <w:lang w:val="fr-CA"/>
              </w:rPr>
              <w:t>Réduction de 6,0 à 5,9 millions de mètres carrés louables depuis 2019-2020</w:t>
            </w:r>
          </w:p>
        </w:tc>
      </w:tr>
      <w:tr w:rsidR="006774F4" w14:paraId="38DA9D5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6C79C0B"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2BA1C41" w14:textId="77777777" w:rsidR="006774F4" w:rsidRDefault="006774F4" w:rsidP="00AA5586">
            <w:pPr>
              <w:spacing w:after="0" w:line="254" w:lineRule="auto"/>
            </w:pPr>
            <w:r>
              <w:rPr>
                <w:sz w:val="19"/>
                <w:szCs w:val="19"/>
              </w:rPr>
              <w:t>C07, C11, C12, C15</w:t>
            </w:r>
          </w:p>
        </w:tc>
      </w:tr>
      <w:tr w:rsidR="006774F4" w14:paraId="5878ADF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5D1ECA5"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170339B" w14:textId="77777777" w:rsidR="006774F4" w:rsidRDefault="006774F4" w:rsidP="00AA5586">
            <w:pPr>
              <w:spacing w:after="0" w:line="254" w:lineRule="auto"/>
              <w:rPr>
                <w:color w:val="auto"/>
                <w:sz w:val="19"/>
                <w:szCs w:val="19"/>
              </w:rPr>
            </w:pPr>
            <w:r>
              <w:rPr>
                <w:color w:val="auto"/>
                <w:sz w:val="19"/>
                <w:szCs w:val="19"/>
              </w:rPr>
              <w:t>Governance, Technology</w:t>
            </w:r>
          </w:p>
        </w:tc>
      </w:tr>
    </w:tbl>
    <w:p w14:paraId="28B65204" w14:textId="77777777" w:rsidR="006774F4" w:rsidRDefault="006774F4" w:rsidP="006774F4">
      <w:pPr>
        <w:pStyle w:val="Heading2"/>
      </w:pPr>
      <w:bookmarkStart w:id="68" w:name="__RefHeading___Toc4827_3048004937"/>
      <w:bookmarkStart w:id="69" w:name="_Toc239750677"/>
      <w:bookmarkEnd w:id="68"/>
      <w:r>
        <w:rPr>
          <w:lang w:val="fr-CA"/>
        </w:rPr>
        <w:t>Ce qui s’est passé</w:t>
      </w:r>
      <w:bookmarkEnd w:id="69"/>
    </w:p>
    <w:p w14:paraId="75753E43" w14:textId="77777777" w:rsidR="006774F4" w:rsidRPr="006774F4" w:rsidRDefault="006774F4" w:rsidP="006774F4">
      <w:pPr>
        <w:rPr>
          <w:lang w:val="fr-FR"/>
        </w:rPr>
      </w:pPr>
      <w:r>
        <w:rPr>
          <w:lang w:val="fr-CA"/>
        </w:rPr>
        <w:t>Le gouvernement fédéral s’est engagé à réduire de moitié la superficie de son portefeuille de bureaux. Cinq ans plus tard, celle-ci est passée de 6,0 à 5,9 millions de mètres carrés, et le vérificateur général prévoit maintenant une réduction de 33 % plutôt que de 50 %.</w:t>
      </w:r>
    </w:p>
    <w:p w14:paraId="2DE2963D" w14:textId="77777777" w:rsidR="006774F4" w:rsidRPr="006774F4" w:rsidRDefault="006774F4" w:rsidP="006774F4">
      <w:pPr>
        <w:rPr>
          <w:lang w:val="fr-FR"/>
        </w:rPr>
      </w:pPr>
      <w:r>
        <w:rPr>
          <w:lang w:val="fr-CA"/>
        </w:rPr>
        <w:t>Le problème n’est pas la résistance au changement. Il tient au fait que la décision ne peut pas être prise sur de bonnes bases. Services publics et Approvisionnement Canada estimait qu’avant la pandémie, la moitié des locaux à bureaux étaient sous-utilisés, et l’audit a constaté que cinq organisations fédérales occupantes ne mesuraient aucunement la fréquence d’utilisation de leurs espaces par leurs employés. Un propriétaire chargé de se départir des espaces excédentaires ne peut pas déterminer lesquels le sont réellement sans ces données.</w:t>
      </w:r>
    </w:p>
    <w:p w14:paraId="68AA6C69" w14:textId="77777777" w:rsidR="006774F4" w:rsidRPr="006774F4" w:rsidRDefault="006774F4" w:rsidP="006774F4">
      <w:pPr>
        <w:rPr>
          <w:lang w:val="fr-FR"/>
        </w:rPr>
      </w:pPr>
      <w:r>
        <w:rPr>
          <w:lang w:val="fr-CA"/>
        </w:rPr>
        <w:t>Le mécanisme de surveillance qui aurait pu déceler le problème a été supprimé. Le Centre d’expertise pour les biens immobiliers a été dissous en 2024. L’audit est sans équivoque quant à la conséquence : ralentir les cessions risque d’augmenter les coûts d’entretien et d’exploitation que la réduction du portefeuille devait justement éviter.</w:t>
      </w:r>
    </w:p>
    <w:p w14:paraId="6D0DF892" w14:textId="77777777" w:rsidR="006774F4" w:rsidRDefault="006774F4" w:rsidP="006774F4">
      <w:pPr>
        <w:pStyle w:val="Heading2"/>
      </w:pPr>
      <w:bookmarkStart w:id="70" w:name="__RefHeading___Toc4829_3048004937"/>
      <w:bookmarkStart w:id="71" w:name="_Toc239750678"/>
      <w:bookmarkEnd w:id="70"/>
      <w:r>
        <w:rPr>
          <w:lang w:val="fr-CA"/>
        </w:rPr>
        <w:t>Constats du rapport</w:t>
      </w:r>
      <w:bookmarkEnd w:id="71"/>
    </w:p>
    <w:p w14:paraId="4C05DF9E" w14:textId="77777777" w:rsidR="006774F4" w:rsidRPr="006774F4" w:rsidRDefault="006774F4" w:rsidP="006774F4">
      <w:pPr>
        <w:pStyle w:val="ListParagraph"/>
        <w:numPr>
          <w:ilvl w:val="0"/>
          <w:numId w:val="13"/>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Ministère estimait qu’avant la pandémie, 50 % des locaux à bureaux étaient sous-utilisés</w:t>
      </w:r>
    </w:p>
    <w:p w14:paraId="18607D81" w14:textId="77777777" w:rsidR="006774F4" w:rsidRPr="006774F4" w:rsidRDefault="006774F4" w:rsidP="006774F4">
      <w:pPr>
        <w:pStyle w:val="ListParagraph"/>
        <w:numPr>
          <w:ilvl w:val="0"/>
          <w:numId w:val="13"/>
        </w:numPr>
        <w:spacing w:after="100" w:line="276" w:lineRule="auto"/>
        <w:contextualSpacing w:val="0"/>
        <w:rPr>
          <w:sz w:val="21"/>
          <w:szCs w:val="21"/>
          <w:lang w:val="fr-FR"/>
        </w:rPr>
      </w:pPr>
      <w:r>
        <w:rPr>
          <w:sz w:val="21"/>
          <w:szCs w:val="21"/>
          <w:lang w:val="fr-CA"/>
        </w:rPr>
        <w:t>SPAC prévoit actuellement que la réduction des locaux à bureaux n’atteindra que 33 %</w:t>
      </w:r>
    </w:p>
    <w:p w14:paraId="48BB6DD1" w14:textId="77777777" w:rsidR="006774F4" w:rsidRPr="006774F4" w:rsidRDefault="006774F4" w:rsidP="006774F4">
      <w:pPr>
        <w:pStyle w:val="ListParagraph"/>
        <w:numPr>
          <w:ilvl w:val="0"/>
          <w:numId w:val="13"/>
        </w:numPr>
        <w:spacing w:after="100" w:line="276" w:lineRule="auto"/>
        <w:contextualSpacing w:val="0"/>
        <w:rPr>
          <w:sz w:val="21"/>
          <w:szCs w:val="21"/>
          <w:lang w:val="fr-FR"/>
        </w:rPr>
      </w:pPr>
      <w:proofErr w:type="gramStart"/>
      <w:r>
        <w:rPr>
          <w:sz w:val="21"/>
          <w:szCs w:val="21"/>
          <w:lang w:val="fr-CA"/>
        </w:rPr>
        <w:t>cinq</w:t>
      </w:r>
      <w:proofErr w:type="gramEnd"/>
      <w:r>
        <w:rPr>
          <w:sz w:val="21"/>
          <w:szCs w:val="21"/>
          <w:lang w:val="fr-CA"/>
        </w:rPr>
        <w:t xml:space="preserve"> organisations fédérales occupantes ne mesuraient pas la fréquence d’utilisation des espaces par leurs employés</w:t>
      </w:r>
    </w:p>
    <w:p w14:paraId="5970CE5B" w14:textId="77777777" w:rsidR="006774F4" w:rsidRPr="006774F4" w:rsidRDefault="006774F4" w:rsidP="006774F4">
      <w:pPr>
        <w:pStyle w:val="ListParagraph"/>
        <w:numPr>
          <w:ilvl w:val="0"/>
          <w:numId w:val="13"/>
        </w:numPr>
        <w:spacing w:after="100" w:line="276" w:lineRule="auto"/>
        <w:contextualSpacing w:val="0"/>
        <w:rPr>
          <w:sz w:val="21"/>
          <w:szCs w:val="21"/>
          <w:lang w:val="fr-FR"/>
        </w:rPr>
      </w:pPr>
      <w:proofErr w:type="gramStart"/>
      <w:r>
        <w:rPr>
          <w:sz w:val="21"/>
          <w:szCs w:val="21"/>
          <w:lang w:val="fr-CA"/>
        </w:rPr>
        <w:t>la</w:t>
      </w:r>
      <w:proofErr w:type="gramEnd"/>
      <w:r>
        <w:rPr>
          <w:sz w:val="21"/>
          <w:szCs w:val="21"/>
          <w:lang w:val="fr-CA"/>
        </w:rPr>
        <w:t xml:space="preserve"> capacité de surveillance a diminué avec la dissolution, en 2024, du Centre d’expertise pour les biens immobiliers</w:t>
      </w:r>
    </w:p>
    <w:p w14:paraId="57A95452" w14:textId="77777777" w:rsidR="006774F4" w:rsidRPr="006774F4" w:rsidRDefault="006774F4" w:rsidP="006774F4">
      <w:pPr>
        <w:pStyle w:val="ListParagraph"/>
        <w:numPr>
          <w:ilvl w:val="0"/>
          <w:numId w:val="13"/>
        </w:numPr>
        <w:spacing w:after="100" w:line="276" w:lineRule="auto"/>
        <w:contextualSpacing w:val="0"/>
        <w:rPr>
          <w:sz w:val="21"/>
          <w:szCs w:val="21"/>
          <w:lang w:val="fr-FR"/>
        </w:rPr>
      </w:pPr>
      <w:proofErr w:type="gramStart"/>
      <w:r>
        <w:rPr>
          <w:sz w:val="21"/>
          <w:szCs w:val="21"/>
          <w:lang w:val="fr-CA"/>
        </w:rPr>
        <w:t>un</w:t>
      </w:r>
      <w:proofErr w:type="gramEnd"/>
      <w:r>
        <w:rPr>
          <w:sz w:val="21"/>
          <w:szCs w:val="21"/>
          <w:lang w:val="fr-CA"/>
        </w:rPr>
        <w:t xml:space="preserve"> rythme de cession plus lent risque d’entraîner une hausse des coûts d’entretien et d’exploitation</w:t>
      </w:r>
    </w:p>
    <w:p w14:paraId="1614B0C6" w14:textId="77777777" w:rsidR="006774F4" w:rsidRDefault="006774F4" w:rsidP="006774F4">
      <w:pPr>
        <w:pStyle w:val="Heading2"/>
      </w:pPr>
      <w:bookmarkStart w:id="72" w:name="__RefHeading___Toc4831_3048004937"/>
      <w:bookmarkEnd w:id="72"/>
      <w:r>
        <w:rPr>
          <w:lang w:val="fr-CA"/>
        </w:rPr>
        <w:lastRenderedPageBreak/>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10"/>
        <w:gridCol w:w="2530"/>
      </w:tblGrid>
      <w:tr w:rsidR="006774F4" w14:paraId="4ABF43A4" w14:textId="77777777" w:rsidTr="00AA5586">
        <w:trPr>
          <w:cantSplit/>
          <w:tblHeader/>
        </w:trPr>
        <w:tc>
          <w:tcPr>
            <w:tcW w:w="900" w:type="dxa"/>
            <w:tcBorders>
              <w:bottom w:val="single" w:sz="4" w:space="0" w:color="000000"/>
            </w:tcBorders>
            <w:shd w:val="clear" w:color="auto" w:fill="1B3A6B"/>
          </w:tcPr>
          <w:p w14:paraId="32CE4D62"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2F7B7DF2" w14:textId="77777777" w:rsidR="006774F4" w:rsidRDefault="006774F4" w:rsidP="00AA5586">
            <w:pPr>
              <w:spacing w:after="0" w:line="254" w:lineRule="auto"/>
              <w:jc w:val="center"/>
            </w:pPr>
            <w:r>
              <w:rPr>
                <w:b/>
                <w:bCs/>
                <w:caps/>
                <w:color w:val="FFFFFF"/>
                <w:spacing w:val="16"/>
                <w:sz w:val="18"/>
                <w:szCs w:val="18"/>
                <w:lang w:val="fr-CA"/>
              </w:rPr>
              <w:t>Cause</w:t>
            </w:r>
          </w:p>
        </w:tc>
        <w:tc>
          <w:tcPr>
            <w:tcW w:w="1710" w:type="dxa"/>
            <w:tcBorders>
              <w:bottom w:val="single" w:sz="4" w:space="0" w:color="000000"/>
            </w:tcBorders>
            <w:shd w:val="clear" w:color="auto" w:fill="1B3A6B"/>
          </w:tcPr>
          <w:p w14:paraId="2F9B827C"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30" w:type="dxa"/>
            <w:tcBorders>
              <w:bottom w:val="single" w:sz="4" w:space="0" w:color="000000"/>
            </w:tcBorders>
            <w:shd w:val="clear" w:color="auto" w:fill="1B3A6B"/>
          </w:tcPr>
          <w:p w14:paraId="7BE99327"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534A499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92C9D0"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55053B"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B68C04" w14:textId="77777777" w:rsidR="006774F4" w:rsidRDefault="006774F4" w:rsidP="00AA5586">
            <w:pPr>
              <w:spacing w:after="0" w:line="254" w:lineRule="auto"/>
              <w:jc w:val="center"/>
            </w:pPr>
            <w:r>
              <w:rPr>
                <w:b/>
                <w:bCs/>
                <w:color w:val="B85C30"/>
                <w:sz w:val="18"/>
                <w:szCs w:val="18"/>
                <w:lang w:val="fr-CA"/>
              </w:rPr>
              <w:t>29,1 %</w:t>
            </w:r>
          </w:p>
        </w:tc>
        <w:tc>
          <w:tcPr>
            <w:tcW w:w="2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26384B" w14:textId="77777777" w:rsidR="006774F4" w:rsidRDefault="006774F4" w:rsidP="00AA5586">
            <w:pPr>
              <w:spacing w:after="0" w:line="254" w:lineRule="auto"/>
              <w:jc w:val="center"/>
            </w:pPr>
            <w:r>
              <w:rPr>
                <w:sz w:val="18"/>
                <w:szCs w:val="18"/>
              </w:rPr>
              <w:t>Technology</w:t>
            </w:r>
          </w:p>
        </w:tc>
      </w:tr>
      <w:tr w:rsidR="006774F4" w14:paraId="52124727"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3F73153" w14:textId="77777777" w:rsidR="006774F4" w:rsidRDefault="006774F4" w:rsidP="00AA5586">
            <w:pPr>
              <w:spacing w:after="0" w:line="254" w:lineRule="auto"/>
              <w:jc w:val="center"/>
            </w:pPr>
            <w:r>
              <w:rPr>
                <w:b/>
                <w:bCs/>
                <w:sz w:val="18"/>
                <w:szCs w:val="18"/>
              </w:rPr>
              <w:t>C11</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D2C31D1" w14:textId="77777777" w:rsidR="006774F4" w:rsidRPr="006774F4" w:rsidRDefault="006774F4" w:rsidP="00AA5586">
            <w:pPr>
              <w:spacing w:after="0" w:line="254" w:lineRule="auto"/>
              <w:rPr>
                <w:lang w:val="fr-FR"/>
              </w:rPr>
            </w:pPr>
            <w:r>
              <w:rPr>
                <w:sz w:val="18"/>
                <w:szCs w:val="18"/>
                <w:lang w:val="fr-CA"/>
              </w:rPr>
              <w:t>Bénéfices ou performance non mesurés</w:t>
            </w:r>
          </w:p>
        </w:tc>
        <w:tc>
          <w:tcPr>
            <w:tcW w:w="171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37FF1A6" w14:textId="77777777" w:rsidR="006774F4" w:rsidRDefault="006774F4" w:rsidP="00AA5586">
            <w:pPr>
              <w:spacing w:after="0" w:line="254" w:lineRule="auto"/>
              <w:jc w:val="center"/>
            </w:pPr>
            <w:r>
              <w:rPr>
                <w:b/>
                <w:bCs/>
                <w:color w:val="B85C30"/>
                <w:sz w:val="18"/>
                <w:szCs w:val="18"/>
                <w:lang w:val="fr-CA"/>
              </w:rPr>
              <w:t>20,9 %</w:t>
            </w:r>
          </w:p>
        </w:tc>
        <w:tc>
          <w:tcPr>
            <w:tcW w:w="253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E66352A" w14:textId="77777777" w:rsidR="006774F4" w:rsidRDefault="006774F4" w:rsidP="00AA5586">
            <w:pPr>
              <w:spacing w:after="0" w:line="254" w:lineRule="auto"/>
              <w:jc w:val="center"/>
            </w:pPr>
            <w:r>
              <w:rPr>
                <w:sz w:val="18"/>
                <w:szCs w:val="18"/>
              </w:rPr>
              <w:t>Governance</w:t>
            </w:r>
          </w:p>
        </w:tc>
      </w:tr>
      <w:tr w:rsidR="006774F4" w14:paraId="4C62E5C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40742B"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B556A9"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CA5E58" w14:textId="77777777" w:rsidR="006774F4" w:rsidRDefault="006774F4" w:rsidP="00AA5586">
            <w:pPr>
              <w:spacing w:after="0" w:line="254" w:lineRule="auto"/>
              <w:jc w:val="center"/>
            </w:pPr>
            <w:r>
              <w:rPr>
                <w:b/>
                <w:bCs/>
                <w:color w:val="B85C30"/>
                <w:sz w:val="18"/>
                <w:szCs w:val="18"/>
                <w:lang w:val="fr-CA"/>
              </w:rPr>
              <w:t>34,5 %</w:t>
            </w:r>
          </w:p>
        </w:tc>
        <w:tc>
          <w:tcPr>
            <w:tcW w:w="2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9244B6" w14:textId="77777777" w:rsidR="006774F4" w:rsidRDefault="006774F4" w:rsidP="00AA5586">
            <w:pPr>
              <w:spacing w:after="0" w:line="254" w:lineRule="auto"/>
              <w:jc w:val="center"/>
            </w:pPr>
            <w:r>
              <w:rPr>
                <w:sz w:val="18"/>
                <w:szCs w:val="18"/>
              </w:rPr>
              <w:t>Governance</w:t>
            </w:r>
          </w:p>
        </w:tc>
      </w:tr>
      <w:tr w:rsidR="006774F4" w14:paraId="43BB25EC" w14:textId="77777777" w:rsidTr="00AA5586">
        <w:trPr>
          <w:cantSplit/>
          <w:trHeight w:val="300"/>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91650FA" w14:textId="77777777" w:rsidR="006774F4" w:rsidRDefault="006774F4" w:rsidP="00AA5586">
            <w:pPr>
              <w:spacing w:after="0" w:line="254" w:lineRule="auto"/>
              <w:jc w:val="center"/>
            </w:pPr>
            <w:r>
              <w:rPr>
                <w:b/>
                <w:bCs/>
                <w:sz w:val="18"/>
                <w:szCs w:val="18"/>
              </w:rPr>
              <w:t>C15</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2D2B16" w14:textId="77777777" w:rsidR="006774F4" w:rsidRPr="006774F4" w:rsidRDefault="006774F4" w:rsidP="00AA5586">
            <w:pPr>
              <w:spacing w:after="0" w:line="254" w:lineRule="auto"/>
              <w:rPr>
                <w:lang w:val="fr-FR"/>
              </w:rPr>
            </w:pPr>
            <w:r>
              <w:rPr>
                <w:sz w:val="18"/>
                <w:szCs w:val="18"/>
                <w:lang w:val="fr-CA"/>
              </w:rPr>
              <w:t>Assurance indépendante ou surveillance absente ou tardive</w:t>
            </w:r>
          </w:p>
        </w:tc>
        <w:tc>
          <w:tcPr>
            <w:tcW w:w="171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DAC189" w14:textId="77777777" w:rsidR="006774F4" w:rsidRDefault="006774F4" w:rsidP="00AA5586">
            <w:pPr>
              <w:spacing w:after="0" w:line="254" w:lineRule="auto"/>
              <w:jc w:val="center"/>
            </w:pPr>
            <w:r>
              <w:rPr>
                <w:b/>
                <w:bCs/>
                <w:color w:val="B85C30"/>
                <w:sz w:val="18"/>
                <w:szCs w:val="18"/>
                <w:lang w:val="fr-CA"/>
              </w:rPr>
              <w:t>20,9 %</w:t>
            </w:r>
          </w:p>
        </w:tc>
        <w:tc>
          <w:tcPr>
            <w:tcW w:w="253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E3F76BD" w14:textId="77777777" w:rsidR="006774F4" w:rsidRDefault="006774F4" w:rsidP="00AA5586">
            <w:pPr>
              <w:spacing w:after="0" w:line="254" w:lineRule="auto"/>
              <w:jc w:val="center"/>
            </w:pPr>
            <w:r>
              <w:rPr>
                <w:sz w:val="18"/>
                <w:szCs w:val="18"/>
              </w:rPr>
              <w:t>Governance</w:t>
            </w:r>
          </w:p>
        </w:tc>
      </w:tr>
    </w:tbl>
    <w:p w14:paraId="7DAAB2D6" w14:textId="77777777" w:rsidR="006774F4" w:rsidRPr="006774F4" w:rsidRDefault="006774F4" w:rsidP="006774F4">
      <w:pPr>
        <w:pStyle w:val="Heading2"/>
        <w:rPr>
          <w:lang w:val="fr-FR"/>
        </w:rPr>
      </w:pPr>
      <w:bookmarkStart w:id="73" w:name="__RefHeading___Toc4833_3048004937"/>
      <w:bookmarkStart w:id="74" w:name="_Toc239750680"/>
      <w:bookmarkEnd w:id="73"/>
      <w:r>
        <w:rPr>
          <w:lang w:val="fr-CA"/>
        </w:rPr>
        <w:t xml:space="preserve">Ce qu’une intervention de Clarity </w:t>
      </w:r>
      <w:proofErr w:type="spellStart"/>
      <w:r>
        <w:rPr>
          <w:lang w:val="fr-CA"/>
        </w:rPr>
        <w:t>Builders</w:t>
      </w:r>
      <w:proofErr w:type="spellEnd"/>
      <w:r>
        <w:rPr>
          <w:lang w:val="fr-CA"/>
        </w:rPr>
        <w:t xml:space="preserve"> aurait permis d’aborder</w:t>
      </w:r>
      <w:bookmarkEnd w:id="74"/>
    </w:p>
    <w:p w14:paraId="189BAF5C" w14:textId="77777777" w:rsidR="006774F4" w:rsidRPr="006774F4" w:rsidRDefault="006774F4" w:rsidP="006774F4">
      <w:pPr>
        <w:pStyle w:val="ListParagraph"/>
        <w:numPr>
          <w:ilvl w:val="0"/>
          <w:numId w:val="3"/>
        </w:numPr>
        <w:spacing w:after="100" w:line="276" w:lineRule="auto"/>
        <w:contextualSpacing w:val="0"/>
        <w:rPr>
          <w:sz w:val="21"/>
          <w:szCs w:val="21"/>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L’utilisation des espaces est une exigence d’information qui incombe à l’occupant; ce n’est pas une mesure que le propriétaire peut produire seul. Tant qu’elle n’est pas définie comme une obligation assortie d’un format et d’une fréquence, aucun effort centralisé ne peut combler cette lacune.</w:t>
      </w:r>
    </w:p>
    <w:p w14:paraId="27A31A64" w14:textId="77777777" w:rsidR="006774F4" w:rsidRPr="006774F4" w:rsidRDefault="006774F4" w:rsidP="006774F4">
      <w:pPr>
        <w:pStyle w:val="ListParagraph"/>
        <w:numPr>
          <w:ilvl w:val="0"/>
          <w:numId w:val="3"/>
        </w:numPr>
        <w:spacing w:after="100" w:line="276" w:lineRule="auto"/>
        <w:contextualSpacing w:val="0"/>
        <w:rPr>
          <w:sz w:val="21"/>
          <w:szCs w:val="21"/>
          <w:lang w:val="fr-FR"/>
        </w:rPr>
      </w:pPr>
      <w:r>
        <w:rPr>
          <w:b/>
          <w:bCs/>
          <w:color w:val="1B3A6B"/>
          <w:sz w:val="21"/>
          <w:szCs w:val="21"/>
          <w:lang w:val="fr-CA"/>
        </w:rPr>
        <w:t xml:space="preserve">5.5 Information management design.  </w:t>
      </w:r>
      <w:r>
        <w:rPr>
          <w:sz w:val="21"/>
          <w:szCs w:val="21"/>
          <w:lang w:val="fr-CA"/>
        </w:rPr>
        <w:t>Le gardien et les occupants détiennent chacun une partie de l’information nécessaire pour répondre à la même question. Le travail de conception consiste à déterminer quel dossier fait autorité et qui est tenu de l’alimenter.</w:t>
      </w:r>
    </w:p>
    <w:p w14:paraId="37382A1F" w14:textId="77777777" w:rsidR="006774F4" w:rsidRPr="006774F4" w:rsidRDefault="006774F4" w:rsidP="006774F4">
      <w:pPr>
        <w:pStyle w:val="ListParagraph"/>
        <w:numPr>
          <w:ilvl w:val="0"/>
          <w:numId w:val="3"/>
        </w:numPr>
        <w:spacing w:after="100" w:line="276" w:lineRule="auto"/>
        <w:contextualSpacing w:val="0"/>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Les économies projetées de 3,9 milliards de dollars reposent sur une prévision d’exploitation tributaire de données que personne n’était tenu de produire. Cette dépendance aurait dû être clairement visible dans le dossier de financement.</w:t>
      </w:r>
    </w:p>
    <w:p w14:paraId="00B4BF28" w14:textId="77777777" w:rsidR="006774F4" w:rsidRPr="006774F4" w:rsidRDefault="006774F4" w:rsidP="006774F4">
      <w:pPr>
        <w:pStyle w:val="Heading2"/>
        <w:rPr>
          <w:lang w:val="fr-FR"/>
        </w:rPr>
      </w:pPr>
      <w:bookmarkStart w:id="75" w:name="__RefHeading___Toc4835_3048004937"/>
      <w:bookmarkStart w:id="76" w:name="_Toc239750681"/>
      <w:bookmarkEnd w:id="75"/>
      <w:r>
        <w:rPr>
          <w:lang w:val="fr-CA"/>
        </w:rPr>
        <w:t>Scénario illustratif</w:t>
      </w:r>
      <w:bookmarkEnd w:id="76"/>
    </w:p>
    <w:p w14:paraId="3116177B" w14:textId="77777777" w:rsidR="006774F4" w:rsidRPr="006774F4" w:rsidRDefault="006774F4" w:rsidP="006774F4">
      <w:pPr>
        <w:rPr>
          <w:lang w:val="fr-FR"/>
        </w:rPr>
      </w:pPr>
      <w:r>
        <w:rPr>
          <w:lang w:val="fr-CA"/>
        </w:rPr>
        <w:t xml:space="preserve">Les 3,9 milliards de dollars correspondent à la projection d’économies du gouvernement lui-même, et non à une estimation de Clarity </w:t>
      </w:r>
      <w:proofErr w:type="spellStart"/>
      <w:r>
        <w:rPr>
          <w:lang w:val="fr-CA"/>
        </w:rPr>
        <w:t>Builders</w:t>
      </w:r>
      <w:proofErr w:type="spellEnd"/>
      <w:r>
        <w:rPr>
          <w:lang w:val="fr-CA"/>
        </w:rPr>
        <w:t>; l’audit indique déjà que ces économies sont à risque.</w:t>
      </w:r>
    </w:p>
    <w:p w14:paraId="378F9B22" w14:textId="77777777" w:rsidR="006774F4" w:rsidRPr="006774F4" w:rsidRDefault="006774F4" w:rsidP="006774F4">
      <w:pPr>
        <w:rPr>
          <w:lang w:val="fr-FR"/>
        </w:rPr>
      </w:pPr>
      <w:r>
        <w:rPr>
          <w:lang w:val="fr-CA"/>
        </w:rPr>
        <w:t>L’élément illustratif ici est le mécanisme. Des informations incomplètes ou peu fiables sur les biens et leur état apparaissent dans 29,1 % des entrées canadiennes du registre; dans ce cas-ci, les données manquantes concernent l’utilisation plutôt que l’état physique. L’écart entre la cible de 50 % et la projection de 33 % n’est pas un échec de politique publique. C’est la conséquence d’un portefeuille auquel on demande d’identifier des espaces excédentaires à partir de données d’occupation que cinq de ses occupants ne recueillent pas.</w:t>
      </w:r>
    </w:p>
    <w:p w14:paraId="1B3F3757" w14:textId="77777777" w:rsidR="006774F4" w:rsidRPr="006774F4" w:rsidRDefault="006774F4" w:rsidP="006774F4">
      <w:pPr>
        <w:pStyle w:val="Heading2"/>
        <w:rPr>
          <w:lang w:val="fr-FR"/>
        </w:rPr>
      </w:pPr>
      <w:bookmarkStart w:id="77" w:name="__RefHeading___Toc4837_3048004937"/>
      <w:bookmarkEnd w:id="77"/>
      <w:r>
        <w:rPr>
          <w:lang w:val="fr-CA"/>
        </w:rPr>
        <w:t>Contrefactuel</w:t>
      </w:r>
    </w:p>
    <w:p w14:paraId="633AC771"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la cible de 50 % était atteignable ni que de meilleures données sur l’utilisation auraient permis de l’atteindre.</w:t>
      </w:r>
    </w:p>
    <w:p w14:paraId="610214CA"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lastRenderedPageBreak/>
        <w:t>Nous affirmons qu’un programme de cession ne peut être plus performant que les données d’occupation sur lesquelles il repose, et qu’aucun organisme fédéral n’était tenu de produire cette information dans une forme exploitable par le programme.</w:t>
      </w:r>
    </w:p>
    <w:p w14:paraId="27E461F3" w14:textId="77777777" w:rsidR="006774F4" w:rsidRPr="006774F4" w:rsidRDefault="006774F4" w:rsidP="006774F4">
      <w:pPr>
        <w:pStyle w:val="Heading1"/>
        <w:rPr>
          <w:lang w:val="fr-FR"/>
        </w:rPr>
      </w:pPr>
      <w:bookmarkStart w:id="78" w:name="__RefHeading___Toc4839_3048004937"/>
      <w:bookmarkEnd w:id="78"/>
      <w:r>
        <w:rPr>
          <w:b/>
          <w:bCs/>
          <w:lang w:val="fr-CA"/>
        </w:rPr>
        <w:t>Cas 6.  Réseau express métropolitain</w:t>
      </w:r>
    </w:p>
    <w:p w14:paraId="7F8E7593" w14:textId="77777777" w:rsidR="006774F4" w:rsidRDefault="006774F4" w:rsidP="006774F4">
      <w:pPr>
        <w:rPr>
          <w:b/>
          <w:bCs/>
          <w:color w:val="auto"/>
          <w:lang w:val="fr-CA"/>
        </w:rPr>
      </w:pPr>
      <w:bookmarkStart w:id="79" w:name="_Toc239750682"/>
      <w:r>
        <w:rPr>
          <w:b/>
          <w:bCs/>
          <w:lang w:val="fr-CA"/>
        </w:rPr>
        <w:t>Détails du projet</w:t>
      </w:r>
      <w:bookmarkEnd w:id="79"/>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00A6F1F7" w14:textId="77777777" w:rsidTr="00AA5586">
        <w:trPr>
          <w:cantSplit/>
        </w:trPr>
        <w:tc>
          <w:tcPr>
            <w:tcW w:w="2700" w:type="dxa"/>
            <w:tcBorders>
              <w:bottom w:val="single" w:sz="4" w:space="0" w:color="000000"/>
            </w:tcBorders>
            <w:shd w:val="clear" w:color="auto" w:fill="E2E8F0"/>
          </w:tcPr>
          <w:p w14:paraId="1741817D"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tcPr>
          <w:p w14:paraId="47116044" w14:textId="77777777" w:rsidR="006774F4" w:rsidRDefault="006774F4" w:rsidP="00AA5586">
            <w:pPr>
              <w:spacing w:after="0" w:line="254" w:lineRule="auto"/>
              <w:jc w:val="center"/>
              <w:rPr>
                <w:b/>
                <w:bCs/>
                <w:sz w:val="19"/>
                <w:szCs w:val="19"/>
              </w:rPr>
            </w:pPr>
            <w:r>
              <w:rPr>
                <w:b/>
                <w:bCs/>
                <w:sz w:val="19"/>
                <w:szCs w:val="19"/>
              </w:rPr>
              <w:t>VGQ REM</w:t>
            </w:r>
          </w:p>
        </w:tc>
      </w:tr>
      <w:tr w:rsidR="006774F4" w:rsidRPr="007B50E3" w14:paraId="5BC077E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F9D3B5E"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DFB462F" w14:textId="77777777" w:rsidR="006774F4" w:rsidRPr="006774F4" w:rsidRDefault="006774F4" w:rsidP="00AA5586">
            <w:pPr>
              <w:spacing w:after="0" w:line="254" w:lineRule="auto"/>
              <w:rPr>
                <w:lang w:val="fr-FR"/>
              </w:rPr>
            </w:pPr>
            <w:proofErr w:type="gramStart"/>
            <w:r>
              <w:rPr>
                <w:sz w:val="19"/>
                <w:szCs w:val="19"/>
                <w:lang w:val="fr-CA"/>
              </w:rPr>
              <w:t>Québec  ·</w:t>
            </w:r>
            <w:proofErr w:type="gramEnd"/>
            <w:r>
              <w:rPr>
                <w:sz w:val="19"/>
                <w:szCs w:val="19"/>
                <w:lang w:val="fr-CA"/>
              </w:rPr>
              <w:t xml:space="preserve">  Audit d’optimisation des ressources du Vérificateur général</w:t>
            </w:r>
          </w:p>
        </w:tc>
      </w:tr>
      <w:tr w:rsidR="006774F4" w14:paraId="7199E512"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1C43CF9"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063D972" w14:textId="77777777" w:rsidR="006774F4" w:rsidRDefault="006774F4" w:rsidP="00AA5586">
            <w:pPr>
              <w:spacing w:after="0" w:line="254" w:lineRule="auto"/>
            </w:pPr>
            <w:proofErr w:type="spellStart"/>
            <w:r>
              <w:rPr>
                <w:sz w:val="19"/>
                <w:szCs w:val="19"/>
              </w:rPr>
              <w:t>Vérificateur</w:t>
            </w:r>
            <w:proofErr w:type="spellEnd"/>
            <w:r>
              <w:rPr>
                <w:sz w:val="19"/>
                <w:szCs w:val="19"/>
              </w:rPr>
              <w:t xml:space="preserve"> </w:t>
            </w:r>
            <w:proofErr w:type="spellStart"/>
            <w:r>
              <w:rPr>
                <w:sz w:val="19"/>
                <w:szCs w:val="19"/>
              </w:rPr>
              <w:t>général</w:t>
            </w:r>
            <w:proofErr w:type="spellEnd"/>
            <w:r>
              <w:rPr>
                <w:sz w:val="19"/>
                <w:szCs w:val="19"/>
              </w:rPr>
              <w:t xml:space="preserve"> du Québec</w:t>
            </w:r>
          </w:p>
        </w:tc>
      </w:tr>
      <w:tr w:rsidR="006774F4" w:rsidRPr="006774F4" w14:paraId="6018EDF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7F5E1A5"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EDE4564" w14:textId="77777777" w:rsidR="006774F4" w:rsidRDefault="006774F4" w:rsidP="00AA5586">
            <w:pPr>
              <w:spacing w:after="0" w:line="254" w:lineRule="auto"/>
              <w:rPr>
                <w:lang w:val="fr-CA"/>
              </w:rPr>
            </w:pPr>
            <w:r>
              <w:rPr>
                <w:sz w:val="19"/>
                <w:szCs w:val="19"/>
                <w:lang w:val="fr-CA"/>
              </w:rPr>
              <w:t>Rapport à l'Assemblée nationale 2024-2025, novembre 2024, chapitre 5. Réseau express métropolitain, mise à jour de l'analyse comptable du montage financier publiée en 2018, 2024</w:t>
            </w:r>
          </w:p>
        </w:tc>
      </w:tr>
      <w:tr w:rsidR="006774F4" w14:paraId="4061ADA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76EC2AD"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F2F306E" w14:textId="77777777" w:rsidR="006774F4" w:rsidRDefault="006774F4" w:rsidP="00AA5586">
            <w:pPr>
              <w:spacing w:after="0" w:line="254" w:lineRule="auto"/>
            </w:pPr>
            <w:r>
              <w:rPr>
                <w:sz w:val="19"/>
                <w:szCs w:val="19"/>
                <w:lang w:val="fr-CA"/>
              </w:rPr>
              <w:t>Transport collectif</w:t>
            </w:r>
          </w:p>
        </w:tc>
      </w:tr>
      <w:tr w:rsidR="006774F4" w:rsidRPr="006774F4" w14:paraId="78985F6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E5084C9"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030309" w14:textId="77777777" w:rsidR="006774F4" w:rsidRPr="006774F4" w:rsidRDefault="006774F4" w:rsidP="00AA5586">
            <w:pPr>
              <w:spacing w:after="0" w:line="254" w:lineRule="auto"/>
              <w:rPr>
                <w:lang w:val="fr-FR"/>
              </w:rPr>
            </w:pPr>
            <w:r>
              <w:rPr>
                <w:sz w:val="19"/>
                <w:szCs w:val="19"/>
                <w:lang w:val="fr-CA"/>
              </w:rPr>
              <w:t>6,951 milliards de dollars selon l’estimation de 2018</w:t>
            </w:r>
          </w:p>
        </w:tc>
      </w:tr>
      <w:tr w:rsidR="006774F4" w:rsidRPr="006774F4" w14:paraId="2712D17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8904132"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121C1C1" w14:textId="77777777" w:rsidR="006774F4" w:rsidRPr="006774F4" w:rsidRDefault="006774F4" w:rsidP="00AA5586">
            <w:pPr>
              <w:spacing w:after="0" w:line="254" w:lineRule="auto"/>
              <w:rPr>
                <w:lang w:val="fr-FR"/>
              </w:rPr>
            </w:pPr>
            <w:r>
              <w:rPr>
                <w:sz w:val="19"/>
                <w:szCs w:val="19"/>
                <w:lang w:val="fr-CA"/>
              </w:rPr>
              <w:t>Dépassement d’environ 35 %. L’estimation est passée de 6,951 milliards de dollars en 2018 à 9,370 milliards en mars 2024. Le financement net requis est passé de 6,325 à 8,341 milliards de dollars.</w:t>
            </w:r>
          </w:p>
        </w:tc>
      </w:tr>
      <w:tr w:rsidR="006774F4" w:rsidRPr="006774F4" w14:paraId="59814B1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7FBBA73"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F2C81EE" w14:textId="77777777" w:rsidR="006774F4" w:rsidRPr="006774F4" w:rsidRDefault="006774F4" w:rsidP="00AA5586">
            <w:pPr>
              <w:spacing w:after="0" w:line="254" w:lineRule="auto"/>
              <w:rPr>
                <w:lang w:val="fr-FR"/>
              </w:rPr>
            </w:pPr>
            <w:r>
              <w:rPr>
                <w:sz w:val="19"/>
                <w:szCs w:val="19"/>
                <w:lang w:val="fr-CA"/>
              </w:rPr>
              <w:t>La mise en service complète a été repoussée de 2024 à 2027, soit d’environ trois ans.</w:t>
            </w:r>
          </w:p>
        </w:tc>
      </w:tr>
      <w:tr w:rsidR="006774F4" w14:paraId="27F28E1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02BBEED"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9485BB2" w14:textId="77777777" w:rsidR="006774F4" w:rsidRDefault="006774F4" w:rsidP="00AA5586">
            <w:pPr>
              <w:spacing w:after="0" w:line="254" w:lineRule="auto"/>
            </w:pPr>
            <w:r>
              <w:rPr>
                <w:sz w:val="19"/>
                <w:szCs w:val="19"/>
              </w:rPr>
              <w:t>C02, C04, C05, C07, C11</w:t>
            </w:r>
          </w:p>
        </w:tc>
      </w:tr>
      <w:tr w:rsidR="006774F4" w14:paraId="2186EB0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F41B457"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B038FC" w14:textId="77777777" w:rsidR="006774F4" w:rsidRDefault="006774F4" w:rsidP="00AA5586">
            <w:pPr>
              <w:spacing w:after="0" w:line="254" w:lineRule="auto"/>
              <w:rPr>
                <w:color w:val="auto"/>
                <w:sz w:val="19"/>
                <w:szCs w:val="19"/>
              </w:rPr>
            </w:pPr>
            <w:r>
              <w:rPr>
                <w:color w:val="auto"/>
                <w:sz w:val="19"/>
                <w:szCs w:val="19"/>
              </w:rPr>
              <w:t>Governance, Process, Technology</w:t>
            </w:r>
          </w:p>
        </w:tc>
      </w:tr>
    </w:tbl>
    <w:p w14:paraId="4FF3FA7C" w14:textId="77777777" w:rsidR="006774F4" w:rsidRDefault="006774F4" w:rsidP="006774F4">
      <w:pPr>
        <w:pStyle w:val="Heading2"/>
      </w:pPr>
      <w:bookmarkStart w:id="80" w:name="__RefHeading___Toc4841_3048004937"/>
      <w:bookmarkStart w:id="81" w:name="_Toc239750683"/>
      <w:bookmarkEnd w:id="80"/>
      <w:r>
        <w:rPr>
          <w:lang w:val="fr-CA"/>
        </w:rPr>
        <w:t>Ce qui s’est passé</w:t>
      </w:r>
      <w:bookmarkEnd w:id="81"/>
    </w:p>
    <w:p w14:paraId="5DDD39B1" w14:textId="77777777" w:rsidR="006774F4" w:rsidRPr="006774F4" w:rsidRDefault="006774F4" w:rsidP="006774F4">
      <w:pPr>
        <w:rPr>
          <w:lang w:val="fr-FR"/>
        </w:rPr>
      </w:pPr>
      <w:r>
        <w:rPr>
          <w:lang w:val="fr-CA"/>
        </w:rPr>
        <w:t>Le REM a été structuré de façon à ce qu’une filiale d’une caisse de retraite construise et détienne le réseau de train léger de Montréal, le gouvernement agissant comme investisseur plutôt que comme exploitant. Six ans plus tard, l’estimation des coûts de construction a augmenté de 35 % et la mise en service complète a été repoussée de trois ans.</w:t>
      </w:r>
    </w:p>
    <w:p w14:paraId="0AFB228E" w14:textId="77777777" w:rsidR="006774F4" w:rsidRPr="006774F4" w:rsidRDefault="006774F4" w:rsidP="006774F4">
      <w:pPr>
        <w:rPr>
          <w:lang w:val="fr-FR"/>
        </w:rPr>
      </w:pPr>
      <w:r>
        <w:rPr>
          <w:lang w:val="fr-CA"/>
        </w:rPr>
        <w:t xml:space="preserve">Le Vérificateur général attribue cette hausse à l’inflation, à l’état de la voûte souterraine de l’avenue McGill </w:t>
      </w:r>
      <w:proofErr w:type="spellStart"/>
      <w:r>
        <w:rPr>
          <w:lang w:val="fr-CA"/>
        </w:rPr>
        <w:t>College</w:t>
      </w:r>
      <w:proofErr w:type="spellEnd"/>
      <w:r>
        <w:rPr>
          <w:lang w:val="fr-CA"/>
        </w:rPr>
        <w:t>, aux retards liés à la pandémie et à la découverte d’explosifs dans le tunnel Mont-Royal. Deux de ces quatre facteurs concernent l’état de biens qui existaient déjà.</w:t>
      </w:r>
    </w:p>
    <w:p w14:paraId="5F696099" w14:textId="77777777" w:rsidR="006774F4" w:rsidRPr="006774F4" w:rsidRDefault="006774F4" w:rsidP="006774F4">
      <w:pPr>
        <w:rPr>
          <w:lang w:val="fr-FR"/>
        </w:rPr>
      </w:pPr>
      <w:r>
        <w:rPr>
          <w:lang w:val="fr-CA"/>
        </w:rPr>
        <w:t>Le dernier constat est celui qui devrait le plus préoccuper un propriétaire canadien. CDPQ Infra détient toutes les actions avec droit de vote. Le ministère des Finances, qui comptabilise le placement du gouvernement, ne dispose pas de certaines informations nécessaires pour s’assurer que celui-ci est correctement comptabilisé. Le gouvernement est donc exposé financièrement à un bien sur lequel il n’a pas une visibilité complète.</w:t>
      </w:r>
    </w:p>
    <w:p w14:paraId="68ABC491" w14:textId="77777777" w:rsidR="006774F4" w:rsidRDefault="006774F4" w:rsidP="006774F4">
      <w:pPr>
        <w:pStyle w:val="Heading2"/>
      </w:pPr>
      <w:bookmarkStart w:id="82" w:name="__RefHeading___Toc4843_3048004937"/>
      <w:bookmarkStart w:id="83" w:name="_Toc239750684"/>
      <w:bookmarkEnd w:id="82"/>
      <w:r>
        <w:rPr>
          <w:lang w:val="fr-CA"/>
        </w:rPr>
        <w:lastRenderedPageBreak/>
        <w:t>Constats du rapport</w:t>
      </w:r>
      <w:bookmarkEnd w:id="83"/>
    </w:p>
    <w:p w14:paraId="20A0D99A" w14:textId="77777777" w:rsidR="006774F4" w:rsidRDefault="006774F4" w:rsidP="006774F4">
      <w:pPr>
        <w:pStyle w:val="ListParagraph"/>
        <w:numPr>
          <w:ilvl w:val="0"/>
          <w:numId w:val="5"/>
        </w:numPr>
        <w:spacing w:after="100" w:line="276" w:lineRule="auto"/>
        <w:contextualSpacing w:val="0"/>
        <w:rPr>
          <w:lang w:val="fr-CA"/>
        </w:rPr>
      </w:pPr>
      <w:r>
        <w:rPr>
          <w:sz w:val="21"/>
          <w:szCs w:val="21"/>
          <w:lang w:val="fr-CA"/>
        </w:rPr>
        <w:t>« Selon l’estimation de mars 2024 de CDPQ Infra, les sommes prévues pour construire le REM seraient d’environ 9,4 milliards de dollars »</w:t>
      </w:r>
    </w:p>
    <w:p w14:paraId="55C8A423" w14:textId="77777777" w:rsidR="006774F4" w:rsidRDefault="006774F4" w:rsidP="006774F4">
      <w:pPr>
        <w:pStyle w:val="ListParagraph"/>
        <w:numPr>
          <w:ilvl w:val="0"/>
          <w:numId w:val="5"/>
        </w:numPr>
        <w:spacing w:after="100" w:line="276" w:lineRule="auto"/>
        <w:contextualSpacing w:val="0"/>
        <w:rPr>
          <w:lang w:val="fr-CA"/>
        </w:rPr>
      </w:pPr>
      <w:proofErr w:type="gramStart"/>
      <w:r>
        <w:rPr>
          <w:sz w:val="21"/>
          <w:szCs w:val="21"/>
          <w:lang w:val="fr-CA"/>
        </w:rPr>
        <w:t>les</w:t>
      </w:r>
      <w:proofErr w:type="gramEnd"/>
      <w:r>
        <w:rPr>
          <w:sz w:val="21"/>
          <w:szCs w:val="21"/>
          <w:lang w:val="fr-CA"/>
        </w:rPr>
        <w:t xml:space="preserve"> causes citées sont « l’inflation plus élevée que prévu, l’état de la voûte souterraine de l’avenue McGill </w:t>
      </w:r>
      <w:proofErr w:type="spellStart"/>
      <w:r>
        <w:rPr>
          <w:sz w:val="21"/>
          <w:szCs w:val="21"/>
          <w:lang w:val="fr-CA"/>
        </w:rPr>
        <w:t>College</w:t>
      </w:r>
      <w:proofErr w:type="spellEnd"/>
      <w:r>
        <w:rPr>
          <w:sz w:val="21"/>
          <w:szCs w:val="21"/>
          <w:lang w:val="fr-CA"/>
        </w:rPr>
        <w:t>, les retards occasionnés par la pandémie de COVID-19 et la découverte d’explosifs dans le tunnel Mont-Royal »</w:t>
      </w:r>
    </w:p>
    <w:p w14:paraId="0D4DBF97" w14:textId="77777777" w:rsidR="006774F4" w:rsidRDefault="006774F4" w:rsidP="006774F4">
      <w:pPr>
        <w:pStyle w:val="ListParagraph"/>
        <w:numPr>
          <w:ilvl w:val="0"/>
          <w:numId w:val="5"/>
        </w:numPr>
        <w:spacing w:after="100" w:line="276" w:lineRule="auto"/>
        <w:contextualSpacing w:val="0"/>
        <w:rPr>
          <w:lang w:val="fr-CA"/>
        </w:rPr>
      </w:pPr>
      <w:r>
        <w:rPr>
          <w:sz w:val="21"/>
          <w:szCs w:val="21"/>
          <w:lang w:val="fr-CA"/>
        </w:rPr>
        <w:t>« Ces revenus d’achalandage ne proviennent pas exclusivement de la tarification des passagers, mais découlent à plus de 50 % de contributions du gouvernement du Québec »</w:t>
      </w:r>
    </w:p>
    <w:p w14:paraId="7ABBB468" w14:textId="77777777" w:rsidR="006774F4" w:rsidRDefault="006774F4" w:rsidP="006774F4">
      <w:pPr>
        <w:pStyle w:val="ListParagraph"/>
        <w:numPr>
          <w:ilvl w:val="0"/>
          <w:numId w:val="5"/>
        </w:numPr>
        <w:spacing w:after="100" w:line="276" w:lineRule="auto"/>
        <w:contextualSpacing w:val="0"/>
        <w:rPr>
          <w:lang w:val="fr-CA"/>
        </w:rPr>
      </w:pPr>
      <w:r>
        <w:rPr>
          <w:sz w:val="21"/>
          <w:szCs w:val="21"/>
          <w:lang w:val="fr-CA"/>
        </w:rPr>
        <w:t xml:space="preserve">« CDPQ Infra détient la totalité des actions avec droit de vote de la société REM </w:t>
      </w:r>
      <w:proofErr w:type="spellStart"/>
      <w:r>
        <w:rPr>
          <w:sz w:val="21"/>
          <w:szCs w:val="21"/>
          <w:lang w:val="fr-CA"/>
        </w:rPr>
        <w:t>inc.</w:t>
      </w:r>
      <w:proofErr w:type="spellEnd"/>
      <w:r>
        <w:rPr>
          <w:sz w:val="21"/>
          <w:szCs w:val="21"/>
          <w:lang w:val="fr-CA"/>
        </w:rPr>
        <w:t xml:space="preserve"> depuis sa création »</w:t>
      </w:r>
    </w:p>
    <w:p w14:paraId="0E04EE99" w14:textId="77777777" w:rsidR="006774F4" w:rsidRDefault="006774F4" w:rsidP="006774F4">
      <w:pPr>
        <w:pStyle w:val="ListParagraph"/>
        <w:numPr>
          <w:ilvl w:val="0"/>
          <w:numId w:val="5"/>
        </w:numPr>
        <w:spacing w:after="100" w:line="276" w:lineRule="auto"/>
        <w:contextualSpacing w:val="0"/>
        <w:rPr>
          <w:lang w:val="fr-CA"/>
        </w:rPr>
      </w:pPr>
      <w:r>
        <w:rPr>
          <w:sz w:val="21"/>
          <w:szCs w:val="21"/>
          <w:lang w:val="fr-CA"/>
        </w:rPr>
        <w:t>« Le ministère des Finances du Québec ne dispose pas de certaines informations importantes pour s’assurer que la comptabilisation du placement du gouvernement demeure adéquate »</w:t>
      </w:r>
    </w:p>
    <w:p w14:paraId="6E421DF3" w14:textId="77777777" w:rsidR="006774F4" w:rsidRDefault="006774F4" w:rsidP="006774F4">
      <w:pPr>
        <w:pStyle w:val="Heading2"/>
      </w:pPr>
      <w:bookmarkStart w:id="84" w:name="__RefHeading___Toc4845_3048004937"/>
      <w:bookmarkEnd w:id="84"/>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845"/>
        <w:gridCol w:w="2395"/>
      </w:tblGrid>
      <w:tr w:rsidR="006774F4" w14:paraId="6E4B6794" w14:textId="77777777" w:rsidTr="00AA5586">
        <w:trPr>
          <w:cantSplit/>
          <w:tblHeader/>
        </w:trPr>
        <w:tc>
          <w:tcPr>
            <w:tcW w:w="900" w:type="dxa"/>
            <w:tcBorders>
              <w:bottom w:val="single" w:sz="4" w:space="0" w:color="000000"/>
            </w:tcBorders>
            <w:shd w:val="clear" w:color="auto" w:fill="1B3A6B"/>
          </w:tcPr>
          <w:p w14:paraId="7983E038"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533DC8BE" w14:textId="77777777" w:rsidR="006774F4" w:rsidRDefault="006774F4" w:rsidP="00AA5586">
            <w:pPr>
              <w:spacing w:after="0" w:line="254" w:lineRule="auto"/>
              <w:jc w:val="center"/>
            </w:pPr>
            <w:r>
              <w:rPr>
                <w:b/>
                <w:bCs/>
                <w:caps/>
                <w:color w:val="FFFFFF"/>
                <w:spacing w:val="16"/>
                <w:sz w:val="18"/>
                <w:szCs w:val="18"/>
                <w:lang w:val="fr-CA"/>
              </w:rPr>
              <w:t>Cause</w:t>
            </w:r>
          </w:p>
        </w:tc>
        <w:tc>
          <w:tcPr>
            <w:tcW w:w="1845" w:type="dxa"/>
            <w:tcBorders>
              <w:bottom w:val="single" w:sz="4" w:space="0" w:color="000000"/>
            </w:tcBorders>
            <w:shd w:val="clear" w:color="auto" w:fill="1B3A6B"/>
          </w:tcPr>
          <w:p w14:paraId="044AF95E"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395" w:type="dxa"/>
            <w:tcBorders>
              <w:bottom w:val="single" w:sz="4" w:space="0" w:color="000000"/>
            </w:tcBorders>
            <w:shd w:val="clear" w:color="auto" w:fill="1B3A6B"/>
          </w:tcPr>
          <w:p w14:paraId="4B4D448B"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4DC77212"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D185DC" w14:textId="77777777" w:rsidR="006774F4" w:rsidRDefault="006774F4" w:rsidP="00AA5586">
            <w:pPr>
              <w:spacing w:after="0" w:line="254" w:lineRule="auto"/>
              <w:jc w:val="center"/>
            </w:pPr>
            <w:r>
              <w:rPr>
                <w:b/>
                <w:bCs/>
                <w:sz w:val="18"/>
                <w:szCs w:val="18"/>
              </w:rPr>
              <w:t>C02</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0934BE"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94579" w14:textId="77777777" w:rsidR="006774F4" w:rsidRDefault="006774F4" w:rsidP="00AA5586">
            <w:pPr>
              <w:spacing w:after="0" w:line="254" w:lineRule="auto"/>
              <w:jc w:val="center"/>
            </w:pPr>
            <w:r>
              <w:rPr>
                <w:b/>
                <w:bCs/>
                <w:color w:val="B85C30"/>
                <w:sz w:val="18"/>
                <w:szCs w:val="18"/>
                <w:lang w:val="fr-CA"/>
              </w:rPr>
              <w:t>20,0 %</w:t>
            </w:r>
          </w:p>
        </w:tc>
        <w:tc>
          <w:tcPr>
            <w:tcW w:w="23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B14BD" w14:textId="77777777" w:rsidR="006774F4" w:rsidRDefault="006774F4" w:rsidP="00AA5586">
            <w:pPr>
              <w:spacing w:after="0" w:line="254" w:lineRule="auto"/>
              <w:jc w:val="center"/>
            </w:pPr>
            <w:r>
              <w:rPr>
                <w:sz w:val="18"/>
                <w:szCs w:val="18"/>
              </w:rPr>
              <w:t>Process</w:t>
            </w:r>
          </w:p>
        </w:tc>
      </w:tr>
      <w:tr w:rsidR="006774F4" w14:paraId="198D6C5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700D74"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0C11114"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84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9B90283" w14:textId="77777777" w:rsidR="006774F4" w:rsidRDefault="006774F4" w:rsidP="00AA5586">
            <w:pPr>
              <w:spacing w:after="0" w:line="254" w:lineRule="auto"/>
              <w:jc w:val="center"/>
            </w:pPr>
            <w:r>
              <w:rPr>
                <w:b/>
                <w:bCs/>
                <w:color w:val="B85C30"/>
                <w:sz w:val="18"/>
                <w:szCs w:val="18"/>
                <w:lang w:val="fr-CA"/>
              </w:rPr>
              <w:t>36,4 %</w:t>
            </w:r>
          </w:p>
        </w:tc>
        <w:tc>
          <w:tcPr>
            <w:tcW w:w="239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9A211B0" w14:textId="77777777" w:rsidR="006774F4" w:rsidRDefault="006774F4" w:rsidP="00AA5586">
            <w:pPr>
              <w:spacing w:after="0" w:line="254" w:lineRule="auto"/>
              <w:jc w:val="center"/>
            </w:pPr>
            <w:r>
              <w:rPr>
                <w:sz w:val="18"/>
                <w:szCs w:val="18"/>
              </w:rPr>
              <w:t>Governance</w:t>
            </w:r>
          </w:p>
        </w:tc>
      </w:tr>
      <w:tr w:rsidR="006774F4" w14:paraId="2C8F9650"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816865"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8EC608"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4FE47E" w14:textId="77777777" w:rsidR="006774F4" w:rsidRDefault="006774F4" w:rsidP="00AA5586">
            <w:pPr>
              <w:spacing w:after="0" w:line="254" w:lineRule="auto"/>
              <w:jc w:val="center"/>
            </w:pPr>
            <w:r>
              <w:rPr>
                <w:b/>
                <w:bCs/>
                <w:color w:val="B85C30"/>
                <w:sz w:val="18"/>
                <w:szCs w:val="18"/>
                <w:lang w:val="fr-CA"/>
              </w:rPr>
              <w:t>38,2 %</w:t>
            </w:r>
          </w:p>
        </w:tc>
        <w:tc>
          <w:tcPr>
            <w:tcW w:w="23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FD8978" w14:textId="77777777" w:rsidR="006774F4" w:rsidRDefault="006774F4" w:rsidP="00AA5586">
            <w:pPr>
              <w:spacing w:after="0" w:line="254" w:lineRule="auto"/>
              <w:jc w:val="center"/>
            </w:pPr>
            <w:r>
              <w:rPr>
                <w:sz w:val="18"/>
                <w:szCs w:val="18"/>
              </w:rPr>
              <w:t>Governance</w:t>
            </w:r>
          </w:p>
        </w:tc>
      </w:tr>
      <w:tr w:rsidR="006774F4" w14:paraId="2C3111E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B864D1D"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A49010B"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84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B9BC9E" w14:textId="77777777" w:rsidR="006774F4" w:rsidRDefault="006774F4" w:rsidP="00AA5586">
            <w:pPr>
              <w:spacing w:after="0" w:line="254" w:lineRule="auto"/>
              <w:jc w:val="center"/>
            </w:pPr>
            <w:r>
              <w:rPr>
                <w:b/>
                <w:bCs/>
                <w:color w:val="B85C30"/>
                <w:sz w:val="18"/>
                <w:szCs w:val="18"/>
                <w:lang w:val="fr-CA"/>
              </w:rPr>
              <w:t>29,1 %</w:t>
            </w:r>
          </w:p>
        </w:tc>
        <w:tc>
          <w:tcPr>
            <w:tcW w:w="239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985C706" w14:textId="77777777" w:rsidR="006774F4" w:rsidRDefault="006774F4" w:rsidP="00AA5586">
            <w:pPr>
              <w:spacing w:after="0" w:line="254" w:lineRule="auto"/>
              <w:jc w:val="center"/>
            </w:pPr>
            <w:r>
              <w:rPr>
                <w:sz w:val="18"/>
                <w:szCs w:val="18"/>
              </w:rPr>
              <w:t>Technology</w:t>
            </w:r>
          </w:p>
        </w:tc>
      </w:tr>
      <w:tr w:rsidR="006774F4" w14:paraId="004749EC" w14:textId="77777777" w:rsidTr="00AA5586">
        <w:trPr>
          <w:cantSplit/>
          <w:trHeight w:val="300"/>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890496" w14:textId="77777777" w:rsidR="006774F4" w:rsidRDefault="006774F4" w:rsidP="00AA5586">
            <w:pPr>
              <w:spacing w:after="0" w:line="254" w:lineRule="auto"/>
              <w:jc w:val="center"/>
            </w:pPr>
            <w:r>
              <w:rPr>
                <w:b/>
                <w:bCs/>
                <w:sz w:val="18"/>
                <w:szCs w:val="18"/>
              </w:rPr>
              <w:t>C11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81F2BE" w14:textId="77777777" w:rsidR="006774F4" w:rsidRPr="006774F4" w:rsidRDefault="006774F4" w:rsidP="00AA5586">
            <w:pPr>
              <w:spacing w:after="0" w:line="254" w:lineRule="auto"/>
              <w:rPr>
                <w:lang w:val="fr-FR"/>
              </w:rPr>
            </w:pPr>
            <w:r>
              <w:rPr>
                <w:sz w:val="18"/>
                <w:szCs w:val="18"/>
                <w:lang w:val="fr-CA"/>
              </w:rPr>
              <w:t>Bénéfices ou performance non mesurés</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A2D6E" w14:textId="77777777" w:rsidR="006774F4" w:rsidRDefault="006774F4" w:rsidP="00AA5586">
            <w:pPr>
              <w:spacing w:after="0" w:line="254" w:lineRule="auto"/>
              <w:jc w:val="center"/>
            </w:pPr>
            <w:r>
              <w:rPr>
                <w:b/>
                <w:bCs/>
                <w:color w:val="B85C30"/>
                <w:sz w:val="18"/>
                <w:szCs w:val="18"/>
                <w:lang w:val="fr-CA"/>
              </w:rPr>
              <w:t>20,9 %</w:t>
            </w:r>
          </w:p>
        </w:tc>
        <w:tc>
          <w:tcPr>
            <w:tcW w:w="23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D969A" w14:textId="77777777" w:rsidR="006774F4" w:rsidRDefault="006774F4" w:rsidP="00AA5586">
            <w:pPr>
              <w:spacing w:after="0" w:line="254" w:lineRule="auto"/>
              <w:jc w:val="center"/>
            </w:pPr>
            <w:r>
              <w:rPr>
                <w:sz w:val="18"/>
                <w:szCs w:val="18"/>
              </w:rPr>
              <w:t>Governance</w:t>
            </w:r>
          </w:p>
        </w:tc>
      </w:tr>
    </w:tbl>
    <w:p w14:paraId="49EB8A25" w14:textId="77777777" w:rsidR="006774F4" w:rsidRPr="006774F4" w:rsidRDefault="006774F4" w:rsidP="006774F4">
      <w:pPr>
        <w:pStyle w:val="Heading2"/>
        <w:rPr>
          <w:lang w:val="fr-FR"/>
        </w:rPr>
      </w:pPr>
      <w:bookmarkStart w:id="85" w:name="__RefHeading___Toc4847_3048004937"/>
      <w:bookmarkStart w:id="86" w:name="_Toc239750686"/>
      <w:bookmarkEnd w:id="85"/>
      <w:r>
        <w:rPr>
          <w:lang w:val="fr-CA"/>
        </w:rPr>
        <w:t xml:space="preserve">Ce qu’une intervention de Clarity </w:t>
      </w:r>
      <w:proofErr w:type="spellStart"/>
      <w:r>
        <w:rPr>
          <w:lang w:val="fr-CA"/>
        </w:rPr>
        <w:t>Builders</w:t>
      </w:r>
      <w:proofErr w:type="spellEnd"/>
      <w:r>
        <w:rPr>
          <w:lang w:val="fr-CA"/>
        </w:rPr>
        <w:t xml:space="preserve"> aurait permis d’aborder</w:t>
      </w:r>
      <w:bookmarkEnd w:id="86"/>
    </w:p>
    <w:p w14:paraId="6C1F9C1C" w14:textId="77777777" w:rsidR="006774F4" w:rsidRPr="006774F4" w:rsidRDefault="006774F4" w:rsidP="006774F4">
      <w:pPr>
        <w:spacing w:after="100" w:line="276" w:lineRule="auto"/>
        <w:rPr>
          <w:sz w:val="21"/>
          <w:szCs w:val="21"/>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Les droits d’un investisseur à recevoir de l’information sont, à toutes fins utiles, des exigences d’échange d’informations. Lorsque la contrepartie détient toutes les actions avec droit de vote, ces droits constituent le seul mécanisme dont dispose l’investisseur.</w:t>
      </w:r>
    </w:p>
    <w:p w14:paraId="13B4D144" w14:textId="77777777" w:rsidR="006774F4" w:rsidRPr="006774F4" w:rsidRDefault="006774F4" w:rsidP="006774F4">
      <w:pPr>
        <w:spacing w:after="100" w:line="276" w:lineRule="auto"/>
        <w:rPr>
          <w:sz w:val="21"/>
          <w:szCs w:val="21"/>
          <w:lang w:val="fr-FR"/>
        </w:rPr>
      </w:pPr>
      <w:r>
        <w:rPr>
          <w:b/>
          <w:bCs/>
          <w:color w:val="1B3A6B"/>
          <w:sz w:val="21"/>
          <w:szCs w:val="21"/>
          <w:lang w:val="fr-CA"/>
        </w:rPr>
        <w:t xml:space="preserve">5.5 Information management design.  </w:t>
      </w:r>
      <w:r>
        <w:rPr>
          <w:sz w:val="21"/>
          <w:szCs w:val="21"/>
          <w:lang w:val="fr-CA"/>
        </w:rPr>
        <w:t xml:space="preserve">L’état de la voûte de McGill </w:t>
      </w:r>
      <w:proofErr w:type="spellStart"/>
      <w:r>
        <w:rPr>
          <w:sz w:val="21"/>
          <w:szCs w:val="21"/>
          <w:lang w:val="fr-CA"/>
        </w:rPr>
        <w:t>College</w:t>
      </w:r>
      <w:proofErr w:type="spellEnd"/>
      <w:r>
        <w:rPr>
          <w:sz w:val="21"/>
          <w:szCs w:val="21"/>
          <w:lang w:val="fr-CA"/>
        </w:rPr>
        <w:t xml:space="preserve"> et le contenu du tunnel Mont-Royal étaient des caractéristiques préexistantes de biens existants. Ce qui manquait était une information consignée, et non un nouveau relevé à réaliser après le fait.</w:t>
      </w:r>
    </w:p>
    <w:p w14:paraId="1ACCD12E" w14:textId="77777777" w:rsidR="006774F4" w:rsidRPr="006774F4" w:rsidRDefault="006774F4" w:rsidP="006774F4">
      <w:pPr>
        <w:spacing w:after="100" w:line="276" w:lineRule="auto"/>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Lorsque plus de la moitié des revenus d’achalandage proviennent de contributions gouvernementales, la structure de financement est au cœur du dossier; or l’audit conclut que le Ministère n’en a pas une visibilité complète.</w:t>
      </w:r>
    </w:p>
    <w:p w14:paraId="3E81A362" w14:textId="77777777" w:rsidR="006774F4" w:rsidRPr="006774F4" w:rsidRDefault="006774F4" w:rsidP="006774F4">
      <w:pPr>
        <w:pStyle w:val="Heading2"/>
        <w:rPr>
          <w:lang w:val="fr-FR"/>
        </w:rPr>
      </w:pPr>
      <w:bookmarkStart w:id="87" w:name="__RefHeading___Toc4849_3048004937"/>
      <w:bookmarkStart w:id="88" w:name="_Toc239750687"/>
      <w:bookmarkEnd w:id="87"/>
      <w:r>
        <w:rPr>
          <w:lang w:val="fr-CA"/>
        </w:rPr>
        <w:lastRenderedPageBreak/>
        <w:t>Scénario illustratif</w:t>
      </w:r>
      <w:bookmarkEnd w:id="88"/>
    </w:p>
    <w:p w14:paraId="0E65BFFF" w14:textId="77777777" w:rsidR="006774F4" w:rsidRPr="006774F4" w:rsidRDefault="006774F4" w:rsidP="006774F4">
      <w:pPr>
        <w:rPr>
          <w:lang w:val="fr-FR"/>
        </w:rPr>
      </w:pPr>
      <w:r>
        <w:rPr>
          <w:lang w:val="fr-CA"/>
        </w:rPr>
        <w:t>L’augmentation de 2,4 milliards de dollars est le montant indiqué par le Vérificateur général, et deux des quatre causes qu’il relève échappaient au contrôle des parties.</w:t>
      </w:r>
    </w:p>
    <w:p w14:paraId="7083417F" w14:textId="77777777" w:rsidR="006774F4" w:rsidRPr="006774F4" w:rsidRDefault="006774F4" w:rsidP="006774F4">
      <w:pPr>
        <w:rPr>
          <w:lang w:val="fr-FR"/>
        </w:rPr>
      </w:pPr>
      <w:r>
        <w:rPr>
          <w:lang w:val="fr-CA"/>
        </w:rPr>
        <w:t xml:space="preserve">La partie illustrative concerne les deux autres. L’état de la voûte de McGill </w:t>
      </w:r>
      <w:proofErr w:type="spellStart"/>
      <w:r>
        <w:rPr>
          <w:lang w:val="fr-CA"/>
        </w:rPr>
        <w:t>College</w:t>
      </w:r>
      <w:proofErr w:type="spellEnd"/>
      <w:r>
        <w:rPr>
          <w:lang w:val="fr-CA"/>
        </w:rPr>
        <w:t xml:space="preserve"> et la présence d’explosifs dans le tunnel Mont-Royal étaient des conditions de biens existants qu’une recherche documentaire aurait dû permettre de repérer avant l’engagement, plutôt que pendant la construction. Des informations incomplètes ou peu fiables sur les biens et leur état apparaissent dans 29,1 % des entrées canadiennes du registre. Nous ne ventilons pas les 2,4 milliards de dollars entre les différentes causes, puisque l’audit ne le fait pas; toute répartition de notre part serait inventée.</w:t>
      </w:r>
    </w:p>
    <w:p w14:paraId="76749740" w14:textId="77777777" w:rsidR="006774F4" w:rsidRPr="006774F4" w:rsidRDefault="006774F4" w:rsidP="006774F4">
      <w:pPr>
        <w:pStyle w:val="Heading2"/>
        <w:rPr>
          <w:lang w:val="fr-FR"/>
        </w:rPr>
      </w:pPr>
      <w:bookmarkStart w:id="89" w:name="__RefHeading___Toc4851_3048004937"/>
      <w:bookmarkEnd w:id="89"/>
      <w:r>
        <w:rPr>
          <w:lang w:val="fr-CA"/>
        </w:rPr>
        <w:t>Contrefactuel</w:t>
      </w:r>
    </w:p>
    <w:p w14:paraId="71DB64AA"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 REM aurait respecté son estimation de 2018. L’inflation et une pandémie ne sont pas des défaillances de l’information.</w:t>
      </w:r>
    </w:p>
    <w:p w14:paraId="08B1B5B0"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 gouvernement qui comptabilise un placement de 8,3 milliards de dollars dans une entité dont il ne détient aucune action avec droit de vote doit avoir des droits à l’information clairement établis, et que son propre vérificateur a conclu que ces droits ne lui donnent pas toute l’information nécessaire.</w:t>
      </w:r>
    </w:p>
    <w:p w14:paraId="2493D204" w14:textId="77777777" w:rsidR="006774F4" w:rsidRPr="006774F4" w:rsidRDefault="006774F4" w:rsidP="006774F4">
      <w:pPr>
        <w:rPr>
          <w:lang w:val="fr-FR"/>
        </w:rPr>
      </w:pPr>
    </w:p>
    <w:p w14:paraId="55ECBC51" w14:textId="77777777" w:rsidR="006774F4" w:rsidRPr="006774F4" w:rsidRDefault="006774F4" w:rsidP="006774F4">
      <w:pPr>
        <w:pStyle w:val="Heading1"/>
        <w:spacing w:before="380" w:after="170"/>
        <w:rPr>
          <w:b/>
          <w:bCs/>
          <w:color w:val="1B3A6B"/>
          <w:sz w:val="28"/>
          <w:szCs w:val="28"/>
          <w:lang w:val="fr-FR"/>
        </w:rPr>
      </w:pPr>
      <w:bookmarkStart w:id="90" w:name="__RefHeading___Toc4853_3048004937"/>
      <w:bookmarkStart w:id="91" w:name="_Toc239750688"/>
      <w:bookmarkEnd w:id="90"/>
      <w:r>
        <w:rPr>
          <w:b/>
          <w:bCs/>
          <w:color w:val="1B3A6B"/>
          <w:sz w:val="28"/>
          <w:szCs w:val="28"/>
          <w:lang w:val="fr-CA"/>
        </w:rPr>
        <w:t>Cas 7.  Toronto Water</w:t>
      </w:r>
      <w:bookmarkEnd w:id="91"/>
    </w:p>
    <w:p w14:paraId="76015999" w14:textId="77777777" w:rsidR="006774F4" w:rsidRPr="006774F4" w:rsidRDefault="006774F4" w:rsidP="006774F4">
      <w:pPr>
        <w:spacing w:after="150" w:line="290" w:lineRule="auto"/>
        <w:rPr>
          <w:b/>
          <w:bCs/>
          <w:color w:val="auto"/>
          <w:lang w:val="fr-FR"/>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07791623" w14:textId="77777777" w:rsidTr="00AA5586">
        <w:trPr>
          <w:cantSplit/>
        </w:trPr>
        <w:tc>
          <w:tcPr>
            <w:tcW w:w="2700" w:type="dxa"/>
            <w:tcBorders>
              <w:bottom w:val="single" w:sz="4" w:space="0" w:color="000000"/>
            </w:tcBorders>
            <w:shd w:val="clear" w:color="auto" w:fill="E2E8F0"/>
          </w:tcPr>
          <w:p w14:paraId="2CD72B2F"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tcPr>
          <w:p w14:paraId="55A0736E" w14:textId="77777777" w:rsidR="006774F4" w:rsidRDefault="006774F4" w:rsidP="00AA5586">
            <w:pPr>
              <w:spacing w:after="0" w:line="254" w:lineRule="auto"/>
              <w:jc w:val="center"/>
              <w:rPr>
                <w:b/>
                <w:bCs/>
                <w:sz w:val="19"/>
                <w:szCs w:val="19"/>
              </w:rPr>
            </w:pPr>
            <w:r>
              <w:rPr>
                <w:b/>
                <w:bCs/>
                <w:sz w:val="19"/>
                <w:szCs w:val="19"/>
              </w:rPr>
              <w:t>ON-25</w:t>
            </w:r>
          </w:p>
        </w:tc>
      </w:tr>
      <w:tr w:rsidR="006774F4" w:rsidRPr="007B50E3" w14:paraId="4D7A118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B52E1A7"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A7B290" w14:textId="77777777" w:rsidR="006774F4" w:rsidRPr="006774F4" w:rsidRDefault="006774F4" w:rsidP="00AA5586">
            <w:pPr>
              <w:spacing w:after="0" w:line="254" w:lineRule="auto"/>
              <w:rPr>
                <w:lang w:val="fr-FR"/>
              </w:rPr>
            </w:pPr>
            <w:r>
              <w:rPr>
                <w:sz w:val="19"/>
                <w:szCs w:val="19"/>
                <w:lang w:val="fr-CA"/>
              </w:rPr>
              <w:t xml:space="preserve">Ville de </w:t>
            </w:r>
            <w:proofErr w:type="gramStart"/>
            <w:r>
              <w:rPr>
                <w:sz w:val="19"/>
                <w:szCs w:val="19"/>
                <w:lang w:val="fr-CA"/>
              </w:rPr>
              <w:t>Toronto  ·</w:t>
            </w:r>
            <w:proofErr w:type="gramEnd"/>
            <w:r>
              <w:rPr>
                <w:sz w:val="19"/>
                <w:szCs w:val="19"/>
                <w:lang w:val="fr-CA"/>
              </w:rPr>
              <w:t xml:space="preserve">  Audit du vérificateur général municipal</w:t>
            </w:r>
          </w:p>
        </w:tc>
      </w:tr>
      <w:tr w:rsidR="006774F4" w:rsidRPr="006774F4" w14:paraId="56579A8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F006D38"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E6AE81E" w14:textId="77777777" w:rsidR="006774F4" w:rsidRPr="006774F4" w:rsidRDefault="006774F4" w:rsidP="00AA5586">
            <w:pPr>
              <w:spacing w:after="0" w:line="254" w:lineRule="auto"/>
              <w:rPr>
                <w:lang w:val="fr-FR"/>
              </w:rPr>
            </w:pPr>
            <w:r>
              <w:rPr>
                <w:sz w:val="19"/>
                <w:szCs w:val="19"/>
                <w:lang w:val="fr-CA"/>
              </w:rPr>
              <w:t>Vérificateur général, Ville de Toronto</w:t>
            </w:r>
          </w:p>
        </w:tc>
      </w:tr>
      <w:tr w:rsidR="006774F4" w:rsidRPr="006774F4" w14:paraId="4180069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9CFAF10"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F7BF558" w14:textId="77777777" w:rsidR="006774F4" w:rsidRPr="006774F4" w:rsidRDefault="006774F4" w:rsidP="00AA5586">
            <w:pPr>
              <w:spacing w:after="0" w:line="254" w:lineRule="auto"/>
              <w:rPr>
                <w:lang w:val="fr-FR"/>
              </w:rPr>
            </w:pPr>
            <w:r>
              <w:rPr>
                <w:sz w:val="19"/>
                <w:szCs w:val="19"/>
                <w:lang w:val="fr-CA"/>
              </w:rPr>
              <w:t>Audit de Toronto Water : gestion des contrats liés aux eaux pluviales et aux eaux usées, 2025</w:t>
            </w:r>
          </w:p>
        </w:tc>
      </w:tr>
      <w:tr w:rsidR="006774F4" w14:paraId="0A0A9E4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78A801C"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761B286" w14:textId="77777777" w:rsidR="006774F4" w:rsidRDefault="006774F4" w:rsidP="00AA5586">
            <w:pPr>
              <w:spacing w:after="0" w:line="254" w:lineRule="auto"/>
            </w:pPr>
            <w:r>
              <w:rPr>
                <w:sz w:val="19"/>
                <w:szCs w:val="19"/>
                <w:lang w:val="fr-CA"/>
              </w:rPr>
              <w:t>Eau et eaux usées</w:t>
            </w:r>
          </w:p>
        </w:tc>
      </w:tr>
      <w:tr w:rsidR="006774F4" w:rsidRPr="006774F4" w14:paraId="3F1D3DD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4674E07"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A2957E2" w14:textId="77777777" w:rsidR="006774F4" w:rsidRPr="006774F4" w:rsidRDefault="006774F4" w:rsidP="00AA5586">
            <w:pPr>
              <w:spacing w:after="0" w:line="254" w:lineRule="auto"/>
              <w:rPr>
                <w:lang w:val="fr-FR"/>
              </w:rPr>
            </w:pPr>
            <w:r>
              <w:rPr>
                <w:sz w:val="19"/>
                <w:szCs w:val="19"/>
                <w:lang w:val="fr-CA"/>
              </w:rPr>
              <w:t>Cinq projets échantillonnés dont la valeur contractuelle initiale variait de 7,2 à 26,5 millions de dollars, avec des ordres de modification allant de 500 841 $ à 2,9 millions de dollars</w:t>
            </w:r>
          </w:p>
        </w:tc>
      </w:tr>
      <w:tr w:rsidR="006774F4" w:rsidRPr="006774F4" w14:paraId="011EC922"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FD91DB1"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754F3EE" w14:textId="77777777" w:rsidR="006774F4" w:rsidRPr="006774F4" w:rsidRDefault="006774F4" w:rsidP="00AA5586">
            <w:pPr>
              <w:spacing w:after="0" w:line="254" w:lineRule="auto"/>
              <w:rPr>
                <w:lang w:val="fr-FR"/>
              </w:rPr>
            </w:pPr>
            <w:r>
              <w:rPr>
                <w:sz w:val="19"/>
                <w:szCs w:val="19"/>
                <w:lang w:val="fr-CA"/>
              </w:rPr>
              <w:t>2,85 millions de dollars versés en honoraires de consultants et en hausses de prix attribuables aux retards; plus de 260 000 $ en indemnisation versée à l’entrepreneur pour les retards; une réclamation de 3,5 millions de dollars pour retard toujours contestée; 122 781 $ de majorations excessives récupérés</w:t>
            </w:r>
          </w:p>
        </w:tc>
      </w:tr>
      <w:tr w:rsidR="006774F4" w:rsidRPr="006774F4" w14:paraId="376D51B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516BE66" w14:textId="77777777" w:rsidR="006774F4" w:rsidRDefault="006774F4" w:rsidP="00AA5586">
            <w:pPr>
              <w:spacing w:after="0" w:line="254" w:lineRule="auto"/>
              <w:jc w:val="center"/>
            </w:pPr>
            <w:r>
              <w:rPr>
                <w:b/>
                <w:bCs/>
                <w:color w:val="1B3A6B"/>
                <w:sz w:val="19"/>
                <w:szCs w:val="19"/>
                <w:lang w:val="fr-CA"/>
              </w:rPr>
              <w:lastRenderedPageBreak/>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4930681" w14:textId="77777777" w:rsidR="006774F4" w:rsidRPr="006774F4" w:rsidRDefault="006774F4" w:rsidP="00AA5586">
            <w:pPr>
              <w:spacing w:after="0" w:line="254" w:lineRule="auto"/>
              <w:rPr>
                <w:lang w:val="fr-FR"/>
              </w:rPr>
            </w:pPr>
            <w:r>
              <w:rPr>
                <w:sz w:val="19"/>
                <w:szCs w:val="19"/>
                <w:lang w:val="fr-CA"/>
              </w:rPr>
              <w:t>17 projets sur 18, soit 94 %, n’ont pas respecté la date d’exécution substantielle prévue à l’origine</w:t>
            </w:r>
          </w:p>
        </w:tc>
      </w:tr>
      <w:tr w:rsidR="006774F4" w14:paraId="10EB55A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7E51A01"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23A12F" w14:textId="77777777" w:rsidR="006774F4" w:rsidRDefault="006774F4" w:rsidP="00AA5586">
            <w:pPr>
              <w:spacing w:after="0" w:line="254" w:lineRule="auto"/>
            </w:pPr>
            <w:r>
              <w:rPr>
                <w:sz w:val="19"/>
                <w:szCs w:val="19"/>
              </w:rPr>
              <w:t>C03, C06, C10</w:t>
            </w:r>
          </w:p>
        </w:tc>
      </w:tr>
      <w:tr w:rsidR="006774F4" w14:paraId="1E3F93E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F40B4E4"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0685988" w14:textId="77777777" w:rsidR="006774F4" w:rsidRDefault="006774F4" w:rsidP="00AA5586">
            <w:pPr>
              <w:spacing w:after="0" w:line="254" w:lineRule="auto"/>
              <w:rPr>
                <w:color w:val="auto"/>
                <w:sz w:val="19"/>
                <w:szCs w:val="19"/>
              </w:rPr>
            </w:pPr>
            <w:r>
              <w:rPr>
                <w:color w:val="auto"/>
                <w:sz w:val="19"/>
                <w:szCs w:val="19"/>
              </w:rPr>
              <w:t>Governance, Process</w:t>
            </w:r>
          </w:p>
        </w:tc>
      </w:tr>
    </w:tbl>
    <w:p w14:paraId="081A6C3A" w14:textId="77777777" w:rsidR="006774F4" w:rsidRDefault="006774F4" w:rsidP="006774F4">
      <w:pPr>
        <w:pStyle w:val="Heading2"/>
      </w:pPr>
      <w:bookmarkStart w:id="92" w:name="__RefHeading___Toc4855_3048004937"/>
      <w:bookmarkStart w:id="93" w:name="_Toc239750689"/>
      <w:bookmarkEnd w:id="92"/>
      <w:r>
        <w:rPr>
          <w:lang w:val="fr-CA"/>
        </w:rPr>
        <w:t>Ce qui s’est passé</w:t>
      </w:r>
      <w:bookmarkEnd w:id="93"/>
    </w:p>
    <w:p w14:paraId="78B695FA" w14:textId="77777777" w:rsidR="006774F4" w:rsidRPr="006774F4" w:rsidRDefault="006774F4" w:rsidP="006774F4">
      <w:pPr>
        <w:rPr>
          <w:lang w:val="fr-FR"/>
        </w:rPr>
      </w:pPr>
      <w:r>
        <w:rPr>
          <w:lang w:val="fr-CA"/>
        </w:rPr>
        <w:t>C’est le cas le plus ordinaire de ce livre, et c’est précisément pourquoi il y figure. Pas d’enquête publique, pas de scandale, pas de projet emblématique : simplement un grand service municipal qui réalise des travaux d’immobilisations courants, audité par son propre vérificateur général, avec des constats qui portent sur la documentation.</w:t>
      </w:r>
    </w:p>
    <w:p w14:paraId="0FA49EC5" w14:textId="77777777" w:rsidR="006774F4" w:rsidRPr="006774F4" w:rsidRDefault="006774F4" w:rsidP="006774F4">
      <w:pPr>
        <w:rPr>
          <w:lang w:val="fr-FR"/>
        </w:rPr>
      </w:pPr>
      <w:r>
        <w:rPr>
          <w:lang w:val="fr-CA"/>
        </w:rPr>
        <w:t>Parmi les projets échantillonnés, 94 % n’ont pas respecté la date d’exécution substantielle prévue à l’origine. Lorsque des réclamations pour retard ont été présentées, aucun des 12 dossiers examinés ne comportait un échéancier de projet à jour et trois ne contenaient aucune pièce justificative permettant d’étayer les événements à l’origine des retards. Dans 65 % des ordres de modification échantillonnés, les travaux avaient déjà été exécutés avant l’émission de l’ordre. Dans 91 % des paiements examinés, les pièces justificatives exigées étaient incomplètes, le plus souvent parce que les rapports journaliers de l’entrepreneur étaient absents.</w:t>
      </w:r>
    </w:p>
    <w:p w14:paraId="396BA44A" w14:textId="77777777" w:rsidR="006774F4" w:rsidRPr="006774F4" w:rsidRDefault="006774F4" w:rsidP="006774F4">
      <w:pPr>
        <w:rPr>
          <w:lang w:val="fr-FR"/>
        </w:rPr>
      </w:pPr>
      <w:r>
        <w:rPr>
          <w:lang w:val="fr-CA"/>
        </w:rPr>
        <w:t>Il n’y a pas de coupable désigné ici. Il y a une Ville qui paie des réclamations qu’elle ne peut pas entièrement étayer et qui ne peut pas reconstituer avec certitude l’échéancier, parce que les documents nécessaires à l’un comme à l’autre n’étaient pas exigés au moment où ils auraient été simples et peu coûteux à produire.</w:t>
      </w:r>
    </w:p>
    <w:p w14:paraId="718A719D" w14:textId="77777777" w:rsidR="006774F4" w:rsidRDefault="006774F4" w:rsidP="006774F4">
      <w:pPr>
        <w:pStyle w:val="Heading2"/>
      </w:pPr>
      <w:bookmarkStart w:id="94" w:name="__RefHeading___Toc4857_3048004937"/>
      <w:bookmarkStart w:id="95" w:name="_Toc239750690"/>
      <w:bookmarkEnd w:id="94"/>
      <w:r>
        <w:rPr>
          <w:lang w:val="fr-CA"/>
        </w:rPr>
        <w:t>Constats du rapport</w:t>
      </w:r>
      <w:bookmarkEnd w:id="95"/>
    </w:p>
    <w:p w14:paraId="67357FDB" w14:textId="77777777" w:rsidR="006774F4" w:rsidRPr="006774F4" w:rsidRDefault="006774F4" w:rsidP="006774F4">
      <w:pPr>
        <w:pStyle w:val="ListParagraph"/>
        <w:numPr>
          <w:ilvl w:val="0"/>
          <w:numId w:val="2"/>
        </w:numPr>
        <w:spacing w:after="100" w:line="276" w:lineRule="auto"/>
        <w:contextualSpacing w:val="0"/>
        <w:rPr>
          <w:sz w:val="21"/>
          <w:szCs w:val="21"/>
          <w:lang w:val="fr-FR"/>
        </w:rPr>
      </w:pPr>
      <w:r>
        <w:rPr>
          <w:sz w:val="21"/>
          <w:szCs w:val="21"/>
          <w:lang w:val="fr-CA"/>
        </w:rPr>
        <w:t>« 17 des 18 projets (94 %) n’ont pas respecté la date d’exécution substantielle prévue à l’origine »</w:t>
      </w:r>
    </w:p>
    <w:p w14:paraId="0A76DD16" w14:textId="77777777" w:rsidR="006774F4" w:rsidRPr="006774F4" w:rsidRDefault="006774F4" w:rsidP="006774F4">
      <w:pPr>
        <w:pStyle w:val="ListParagraph"/>
        <w:numPr>
          <w:ilvl w:val="0"/>
          <w:numId w:val="2"/>
        </w:numPr>
        <w:spacing w:after="100" w:line="276" w:lineRule="auto"/>
        <w:contextualSpacing w:val="0"/>
        <w:rPr>
          <w:sz w:val="21"/>
          <w:szCs w:val="21"/>
          <w:lang w:val="fr-FR"/>
        </w:rPr>
      </w:pPr>
      <w:r>
        <w:rPr>
          <w:sz w:val="21"/>
          <w:szCs w:val="21"/>
          <w:lang w:val="fr-CA"/>
        </w:rPr>
        <w:t>« Aucun des 12 dossiers échantillonnés ne comportait un échéancier de projet à jour. Trois des 12 ne contenaient aucune pièce justificative permettant d’étayer les événements à l’origine des retards »</w:t>
      </w:r>
    </w:p>
    <w:p w14:paraId="0D0C5762" w14:textId="77777777" w:rsidR="006774F4" w:rsidRPr="006774F4" w:rsidRDefault="006774F4" w:rsidP="006774F4">
      <w:pPr>
        <w:pStyle w:val="ListParagraph"/>
        <w:numPr>
          <w:ilvl w:val="0"/>
          <w:numId w:val="2"/>
        </w:numPr>
        <w:spacing w:after="100" w:line="276" w:lineRule="auto"/>
        <w:contextualSpacing w:val="0"/>
        <w:rPr>
          <w:sz w:val="21"/>
          <w:szCs w:val="21"/>
          <w:lang w:val="fr-FR"/>
        </w:rPr>
      </w:pPr>
      <w:r>
        <w:rPr>
          <w:sz w:val="21"/>
          <w:szCs w:val="21"/>
          <w:lang w:val="fr-CA"/>
        </w:rPr>
        <w:t>« Dans 23 des 35 ordres de modification échantillonnés (65 %), les travaux ont été exécutés avant l’émission d’un ordre de modification, ce qui aurait nécessité l’émission d’une directive de modification »</w:t>
      </w:r>
    </w:p>
    <w:p w14:paraId="2D80FB88" w14:textId="77777777" w:rsidR="006774F4" w:rsidRPr="006774F4" w:rsidRDefault="006774F4" w:rsidP="006774F4">
      <w:pPr>
        <w:pStyle w:val="ListParagraph"/>
        <w:numPr>
          <w:ilvl w:val="0"/>
          <w:numId w:val="2"/>
        </w:numPr>
        <w:spacing w:after="100" w:line="276" w:lineRule="auto"/>
        <w:contextualSpacing w:val="0"/>
        <w:rPr>
          <w:sz w:val="21"/>
          <w:szCs w:val="21"/>
          <w:lang w:val="fr-FR"/>
        </w:rPr>
      </w:pPr>
      <w:r>
        <w:rPr>
          <w:sz w:val="21"/>
          <w:szCs w:val="21"/>
          <w:lang w:val="fr-CA"/>
        </w:rPr>
        <w:t>« 32 des 35 dossiers échantillonnés (91 %) ne contenaient pas toutes les pièces justificatives requises. Le document qui manquait le plus souvent était le rapport journalier des travaux de l’entrepreneur »</w:t>
      </w:r>
    </w:p>
    <w:p w14:paraId="483E5B56" w14:textId="77777777" w:rsidR="006774F4" w:rsidRDefault="006774F4" w:rsidP="006774F4">
      <w:pPr>
        <w:pStyle w:val="Heading2"/>
      </w:pPr>
      <w:bookmarkStart w:id="96" w:name="__RefHeading___Toc4859_3048004937"/>
      <w:bookmarkEnd w:id="96"/>
      <w:r>
        <w:rPr>
          <w:lang w:val="fr-CA"/>
        </w:rPr>
        <w:lastRenderedPageBreak/>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27"/>
        <w:gridCol w:w="2513"/>
      </w:tblGrid>
      <w:tr w:rsidR="006774F4" w14:paraId="037E92F3" w14:textId="77777777" w:rsidTr="00AA5586">
        <w:trPr>
          <w:cantSplit/>
          <w:tblHeader/>
        </w:trPr>
        <w:tc>
          <w:tcPr>
            <w:tcW w:w="900" w:type="dxa"/>
            <w:tcBorders>
              <w:bottom w:val="single" w:sz="4" w:space="0" w:color="000000"/>
            </w:tcBorders>
            <w:shd w:val="clear" w:color="auto" w:fill="1B3A6B"/>
          </w:tcPr>
          <w:p w14:paraId="1B42BE4C"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6A8B2B18" w14:textId="77777777" w:rsidR="006774F4" w:rsidRDefault="006774F4" w:rsidP="00AA5586">
            <w:pPr>
              <w:spacing w:after="0" w:line="254" w:lineRule="auto"/>
              <w:jc w:val="center"/>
            </w:pPr>
            <w:r>
              <w:rPr>
                <w:b/>
                <w:bCs/>
                <w:caps/>
                <w:color w:val="FFFFFF"/>
                <w:spacing w:val="16"/>
                <w:sz w:val="18"/>
                <w:szCs w:val="18"/>
                <w:lang w:val="fr-CA"/>
              </w:rPr>
              <w:t>Cause</w:t>
            </w:r>
          </w:p>
        </w:tc>
        <w:tc>
          <w:tcPr>
            <w:tcW w:w="1727" w:type="dxa"/>
            <w:tcBorders>
              <w:bottom w:val="single" w:sz="4" w:space="0" w:color="000000"/>
            </w:tcBorders>
            <w:shd w:val="clear" w:color="auto" w:fill="1B3A6B"/>
          </w:tcPr>
          <w:p w14:paraId="78012E7A"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13" w:type="dxa"/>
            <w:tcBorders>
              <w:bottom w:val="single" w:sz="4" w:space="0" w:color="000000"/>
            </w:tcBorders>
            <w:shd w:val="clear" w:color="auto" w:fill="1B3A6B"/>
          </w:tcPr>
          <w:p w14:paraId="6060FAB3"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62947B7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D839AA" w14:textId="77777777" w:rsidR="006774F4" w:rsidRDefault="006774F4" w:rsidP="00AA5586">
            <w:pPr>
              <w:spacing w:after="0" w:line="254" w:lineRule="auto"/>
              <w:jc w:val="center"/>
            </w:pPr>
            <w:r>
              <w:rPr>
                <w:b/>
                <w:bCs/>
                <w:sz w:val="18"/>
                <w:szCs w:val="18"/>
              </w:rPr>
              <w:t>C03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28E9E0" w14:textId="77777777" w:rsidR="006774F4" w:rsidRPr="006774F4" w:rsidRDefault="006774F4" w:rsidP="00AA5586">
            <w:pPr>
              <w:spacing w:after="0" w:line="254" w:lineRule="auto"/>
              <w:rPr>
                <w:lang w:val="fr-FR"/>
              </w:rPr>
            </w:pPr>
            <w:r>
              <w:rPr>
                <w:sz w:val="18"/>
                <w:szCs w:val="18"/>
                <w:lang w:val="fr-CA"/>
              </w:rPr>
              <w:t>Échéancier trop optimiste ou référence de base irréaliste</w:t>
            </w:r>
          </w:p>
        </w:tc>
        <w:tc>
          <w:tcPr>
            <w:tcW w:w="17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A11C47" w14:textId="77777777" w:rsidR="006774F4" w:rsidRDefault="006774F4" w:rsidP="00AA5586">
            <w:pPr>
              <w:spacing w:after="0" w:line="254" w:lineRule="auto"/>
              <w:jc w:val="center"/>
            </w:pPr>
            <w:r>
              <w:rPr>
                <w:b/>
                <w:bCs/>
                <w:color w:val="B85C30"/>
                <w:sz w:val="18"/>
                <w:szCs w:val="18"/>
                <w:lang w:val="fr-CA"/>
              </w:rPr>
              <w:t>9,1 %</w:t>
            </w:r>
          </w:p>
        </w:tc>
        <w:tc>
          <w:tcPr>
            <w:tcW w:w="25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C6AAD4" w14:textId="77777777" w:rsidR="006774F4" w:rsidRDefault="006774F4" w:rsidP="00AA5586">
            <w:pPr>
              <w:spacing w:after="0" w:line="254" w:lineRule="auto"/>
              <w:jc w:val="center"/>
            </w:pPr>
            <w:r>
              <w:rPr>
                <w:sz w:val="18"/>
                <w:szCs w:val="18"/>
              </w:rPr>
              <w:t>Process</w:t>
            </w:r>
          </w:p>
        </w:tc>
      </w:tr>
      <w:tr w:rsidR="006774F4" w14:paraId="5751BE0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550F577"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DE5DEC0"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727"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9F43CB" w14:textId="77777777" w:rsidR="006774F4" w:rsidRDefault="006774F4" w:rsidP="00AA5586">
            <w:pPr>
              <w:spacing w:after="0" w:line="254" w:lineRule="auto"/>
              <w:jc w:val="center"/>
            </w:pPr>
            <w:r>
              <w:rPr>
                <w:b/>
                <w:bCs/>
                <w:color w:val="B85C30"/>
                <w:sz w:val="18"/>
                <w:szCs w:val="18"/>
                <w:lang w:val="fr-CA"/>
              </w:rPr>
              <w:t>34,5 %</w:t>
            </w:r>
          </w:p>
        </w:tc>
        <w:tc>
          <w:tcPr>
            <w:tcW w:w="2513"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6F886A2" w14:textId="77777777" w:rsidR="006774F4" w:rsidRDefault="006774F4" w:rsidP="00AA5586">
            <w:pPr>
              <w:spacing w:after="0" w:line="254" w:lineRule="auto"/>
              <w:jc w:val="center"/>
            </w:pPr>
            <w:r>
              <w:rPr>
                <w:sz w:val="18"/>
                <w:szCs w:val="18"/>
              </w:rPr>
              <w:t>Governance</w:t>
            </w:r>
          </w:p>
        </w:tc>
      </w:tr>
      <w:tr w:rsidR="006774F4" w14:paraId="5AC8AF87"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F50AAE" w14:textId="77777777" w:rsidR="006774F4" w:rsidRDefault="006774F4" w:rsidP="00AA5586">
            <w:pPr>
              <w:spacing w:after="0" w:line="254" w:lineRule="auto"/>
              <w:jc w:val="center"/>
            </w:pPr>
            <w:r>
              <w:rPr>
                <w:b/>
                <w:bCs/>
                <w:sz w:val="18"/>
                <w:szCs w:val="18"/>
              </w:rPr>
              <w:t>C10</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A7AF1E" w14:textId="77777777" w:rsidR="006774F4" w:rsidRPr="006774F4" w:rsidRDefault="006774F4" w:rsidP="00AA5586">
            <w:pPr>
              <w:spacing w:after="0" w:line="254" w:lineRule="auto"/>
              <w:rPr>
                <w:lang w:val="fr-FR"/>
              </w:rPr>
            </w:pPr>
            <w:r>
              <w:rPr>
                <w:sz w:val="18"/>
                <w:szCs w:val="18"/>
                <w:lang w:val="fr-CA"/>
              </w:rPr>
              <w:t>Contrôle insuffisant des modifications et des réclamations</w:t>
            </w:r>
          </w:p>
        </w:tc>
        <w:tc>
          <w:tcPr>
            <w:tcW w:w="17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F6001E" w14:textId="77777777" w:rsidR="006774F4" w:rsidRDefault="006774F4" w:rsidP="00AA5586">
            <w:pPr>
              <w:spacing w:after="0" w:line="254" w:lineRule="auto"/>
              <w:jc w:val="center"/>
            </w:pPr>
            <w:r>
              <w:rPr>
                <w:b/>
                <w:bCs/>
                <w:color w:val="B85C30"/>
                <w:sz w:val="18"/>
                <w:szCs w:val="18"/>
                <w:lang w:val="fr-CA"/>
              </w:rPr>
              <w:t>10,0 %</w:t>
            </w:r>
          </w:p>
        </w:tc>
        <w:tc>
          <w:tcPr>
            <w:tcW w:w="251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6F6027" w14:textId="77777777" w:rsidR="006774F4" w:rsidRDefault="006774F4" w:rsidP="00AA5586">
            <w:pPr>
              <w:spacing w:after="0" w:line="254" w:lineRule="auto"/>
              <w:jc w:val="center"/>
            </w:pPr>
            <w:r>
              <w:rPr>
                <w:sz w:val="18"/>
                <w:szCs w:val="18"/>
              </w:rPr>
              <w:t>Process</w:t>
            </w:r>
          </w:p>
        </w:tc>
      </w:tr>
    </w:tbl>
    <w:p w14:paraId="6002B571" w14:textId="77777777" w:rsidR="006774F4" w:rsidRDefault="006774F4" w:rsidP="006774F4">
      <w:pPr>
        <w:pStyle w:val="Heading2"/>
      </w:pPr>
    </w:p>
    <w:p w14:paraId="62F7A35D" w14:textId="77777777" w:rsidR="006774F4" w:rsidRPr="006774F4" w:rsidRDefault="006774F4" w:rsidP="006774F4">
      <w:pPr>
        <w:pStyle w:val="Heading2"/>
        <w:rPr>
          <w:lang w:val="fr-FR"/>
        </w:rPr>
      </w:pPr>
      <w:bookmarkStart w:id="97" w:name="__RefHeading___Toc4861_3048004937"/>
      <w:bookmarkStart w:id="98" w:name="_Toc239750692"/>
      <w:bookmarkEnd w:id="97"/>
      <w:r>
        <w:rPr>
          <w:lang w:val="fr-CA"/>
        </w:rPr>
        <w:t xml:space="preserve">Ce qu’une intervention de Clarity </w:t>
      </w:r>
      <w:proofErr w:type="spellStart"/>
      <w:r>
        <w:rPr>
          <w:lang w:val="fr-CA"/>
        </w:rPr>
        <w:t>Builders</w:t>
      </w:r>
      <w:proofErr w:type="spellEnd"/>
      <w:r>
        <w:rPr>
          <w:lang w:val="fr-CA"/>
        </w:rPr>
        <w:t xml:space="preserve"> aurait permis d’aborder</w:t>
      </w:r>
      <w:bookmarkEnd w:id="98"/>
    </w:p>
    <w:p w14:paraId="51431587" w14:textId="77777777" w:rsidR="006774F4" w:rsidRPr="006774F4" w:rsidRDefault="006774F4" w:rsidP="006774F4">
      <w:pPr>
        <w:pStyle w:val="ListParagraph"/>
        <w:numPr>
          <w:ilvl w:val="0"/>
          <w:numId w:val="14"/>
        </w:numPr>
        <w:spacing w:after="100" w:line="276" w:lineRule="auto"/>
        <w:contextualSpacing w:val="0"/>
        <w:rPr>
          <w:sz w:val="21"/>
          <w:szCs w:val="21"/>
          <w:lang w:val="fr-FR"/>
        </w:rPr>
      </w:pPr>
      <w:r w:rsidRPr="006774F4">
        <w:rPr>
          <w:b/>
          <w:bCs/>
          <w:color w:val="1B3A6B"/>
          <w:sz w:val="21"/>
          <w:szCs w:val="21"/>
          <w:lang w:val="en-US"/>
        </w:rPr>
        <w:t xml:space="preserve">5.11 Coordination protocol and issue discipline.  </w:t>
      </w:r>
      <w:r>
        <w:rPr>
          <w:sz w:val="21"/>
          <w:szCs w:val="21"/>
          <w:lang w:val="fr-CA"/>
        </w:rPr>
        <w:t>Une réclamation pour retard sans échéancier à jour n’est pas véritablement une réclamation étayée : c’est une affirmation. Le protocole fait de la mise à jour de l’échéancier une condition préalable à l’acceptation même d’une réclamation.</w:t>
      </w:r>
    </w:p>
    <w:p w14:paraId="159DC7B8" w14:textId="77777777" w:rsidR="006774F4" w:rsidRPr="006774F4" w:rsidRDefault="006774F4" w:rsidP="006774F4">
      <w:pPr>
        <w:pStyle w:val="ListParagraph"/>
        <w:numPr>
          <w:ilvl w:val="0"/>
          <w:numId w:val="14"/>
        </w:numPr>
        <w:spacing w:after="100" w:line="276" w:lineRule="auto"/>
        <w:contextualSpacing w:val="0"/>
        <w:rPr>
          <w:sz w:val="21"/>
          <w:szCs w:val="21"/>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Les rapports journaliers sont parmi les informations les moins coûteuses à produire sur un chantier et parmi les plus coûteuses à reconstituer après coup. Les exiger comme livrables, selon un format défini, ne demande qu’une modification très simple au contrat.</w:t>
      </w:r>
    </w:p>
    <w:p w14:paraId="610391FE" w14:textId="77777777" w:rsidR="006774F4" w:rsidRPr="006774F4" w:rsidRDefault="006774F4" w:rsidP="006774F4">
      <w:pPr>
        <w:pStyle w:val="ListParagraph"/>
        <w:numPr>
          <w:ilvl w:val="0"/>
          <w:numId w:val="14"/>
        </w:numPr>
        <w:spacing w:after="100" w:line="276" w:lineRule="auto"/>
        <w:contextualSpacing w:val="0"/>
        <w:rPr>
          <w:sz w:val="21"/>
          <w:szCs w:val="21"/>
          <w:lang w:val="fr-FR"/>
        </w:rPr>
      </w:pPr>
      <w:r w:rsidRPr="006774F4">
        <w:rPr>
          <w:b/>
          <w:bCs/>
          <w:color w:val="1B3A6B"/>
          <w:sz w:val="21"/>
          <w:szCs w:val="21"/>
          <w:lang w:val="en-US"/>
        </w:rPr>
        <w:t xml:space="preserve">5.10 Common data environment operating model.  </w:t>
      </w:r>
      <w:r>
        <w:rPr>
          <w:sz w:val="21"/>
          <w:szCs w:val="21"/>
          <w:lang w:val="fr-CA"/>
        </w:rPr>
        <w:t>Des travaux exécutés avant l’émission d’un ordre de modification révèlent un problème de séquencement qu’un environnement partagé permet de voir le jour même, plutôt qu’au moment d’un audit.</w:t>
      </w:r>
    </w:p>
    <w:p w14:paraId="6104A74C" w14:textId="77777777" w:rsidR="006774F4" w:rsidRPr="006774F4" w:rsidRDefault="006774F4" w:rsidP="006774F4">
      <w:pPr>
        <w:pStyle w:val="Heading2"/>
        <w:spacing w:after="170" w:line="262" w:lineRule="auto"/>
        <w:rPr>
          <w:lang w:val="fr-FR"/>
        </w:rPr>
      </w:pPr>
      <w:bookmarkStart w:id="99" w:name="__RefHeading___Toc4863_3048004937"/>
      <w:bookmarkStart w:id="100" w:name="_Toc239750693"/>
      <w:bookmarkEnd w:id="99"/>
      <w:r>
        <w:rPr>
          <w:lang w:val="fr-CA"/>
        </w:rPr>
        <w:t>Scénario illustratif</w:t>
      </w:r>
      <w:bookmarkEnd w:id="100"/>
    </w:p>
    <w:p w14:paraId="0A92E947" w14:textId="77777777" w:rsidR="006774F4" w:rsidRPr="006774F4" w:rsidRDefault="006774F4" w:rsidP="006774F4">
      <w:pPr>
        <w:rPr>
          <w:lang w:val="fr-FR"/>
        </w:rPr>
      </w:pPr>
      <w:r>
        <w:rPr>
          <w:lang w:val="fr-CA"/>
        </w:rPr>
        <w:t>La réclamation contestée de 3,5 millions de dollars et les 2,85 millions de dollars en honoraires de consultants et en hausses de prix attribuables aux retards sont les chiffres du vérificateur général pour un échantillon d’un seul programme, sur une seule année.</w:t>
      </w:r>
    </w:p>
    <w:p w14:paraId="410BF407" w14:textId="77777777" w:rsidR="006774F4" w:rsidRPr="006774F4" w:rsidRDefault="006774F4" w:rsidP="006774F4">
      <w:pPr>
        <w:rPr>
          <w:lang w:val="fr-FR"/>
        </w:rPr>
      </w:pPr>
      <w:r>
        <w:rPr>
          <w:lang w:val="fr-CA"/>
        </w:rPr>
        <w:t>L’élément illustratif est le rapport entre les risques. Une faiblesse du contrôle des modifications et des réclamations apparaît dans 10,0 % des entrées canadiennes du registre, tandis que l’absence de trace des décisions apparaît dans 34,5 %; cette combinaison est donc loin d’être exceptionnelle. Exiger un rapport journalier ne coûte pratiquement rien. Défendre une réclamation de 3,5 millions de dollars sans ce document peut coûter le montant même de la réclamation.</w:t>
      </w:r>
    </w:p>
    <w:p w14:paraId="029D82F8" w14:textId="77777777" w:rsidR="006774F4" w:rsidRPr="006774F4" w:rsidRDefault="006774F4" w:rsidP="006774F4">
      <w:pPr>
        <w:pStyle w:val="Heading2"/>
        <w:rPr>
          <w:lang w:val="fr-FR"/>
        </w:rPr>
      </w:pPr>
      <w:bookmarkStart w:id="101" w:name="__RefHeading___Toc4865_3048004937"/>
      <w:bookmarkEnd w:id="101"/>
      <w:r>
        <w:rPr>
          <w:lang w:val="fr-CA"/>
        </w:rPr>
        <w:t>Contrefactuel</w:t>
      </w:r>
    </w:p>
    <w:p w14:paraId="6FB61013"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les projets auraient été terminés à temps. Les retards dans les travaux municipaux souterrains peuvent avoir de nombreuses causes, dont la plupart se trouvent littéralement dans le sol.</w:t>
      </w:r>
    </w:p>
    <w:p w14:paraId="36939AA6"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lastRenderedPageBreak/>
        <w:t>Nous affirmons qu’une Ville incapable d’étayer 91 % de ses propres dossiers de paiement n’est pas en position de contester une réclamation, et que le problème relève d’une norme de documentation, non de la technologie.</w:t>
      </w:r>
    </w:p>
    <w:p w14:paraId="57A09284" w14:textId="77777777" w:rsidR="006774F4" w:rsidRPr="006774F4" w:rsidRDefault="006774F4" w:rsidP="006774F4">
      <w:pPr>
        <w:pStyle w:val="Heading1"/>
        <w:spacing w:before="380" w:after="150" w:line="290" w:lineRule="auto"/>
        <w:rPr>
          <w:b/>
          <w:bCs/>
          <w:color w:val="auto"/>
          <w:lang w:val="fr-FR"/>
        </w:rPr>
      </w:pPr>
      <w:bookmarkStart w:id="102" w:name="__RefHeading___Toc4867_3048004937"/>
      <w:bookmarkStart w:id="103" w:name="_Toc239750694"/>
      <w:bookmarkEnd w:id="102"/>
      <w:r>
        <w:rPr>
          <w:b/>
          <w:bCs/>
          <w:color w:val="1B3A6B"/>
          <w:sz w:val="28"/>
          <w:szCs w:val="28"/>
          <w:lang w:val="fr-CA"/>
        </w:rPr>
        <w:t>Cas 8.  Planification des immobilisations scolaires en Nouvelle-Écosse</w:t>
      </w:r>
      <w:r>
        <w:rPr>
          <w:b/>
          <w:bCs/>
          <w:color w:val="auto"/>
          <w:sz w:val="20"/>
          <w:szCs w:val="20"/>
          <w:lang w:val="fr-CA"/>
        </w:rPr>
        <w:br/>
        <w:t>Détails du projet</w:t>
      </w:r>
      <w:bookmarkEnd w:id="103"/>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49595AFA" w14:textId="77777777" w:rsidTr="00AA5586">
        <w:trPr>
          <w:cantSplit/>
        </w:trPr>
        <w:tc>
          <w:tcPr>
            <w:tcW w:w="2700" w:type="dxa"/>
            <w:tcBorders>
              <w:bottom w:val="single" w:sz="4" w:space="0" w:color="000000"/>
            </w:tcBorders>
            <w:shd w:val="clear" w:color="auto" w:fill="E2E8F0"/>
          </w:tcPr>
          <w:p w14:paraId="4621C558"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tcPr>
          <w:p w14:paraId="189C9052" w14:textId="77777777" w:rsidR="006774F4" w:rsidRDefault="006774F4" w:rsidP="00AA5586">
            <w:pPr>
              <w:spacing w:after="0" w:line="254" w:lineRule="auto"/>
              <w:jc w:val="center"/>
              <w:rPr>
                <w:b/>
                <w:bCs/>
                <w:sz w:val="19"/>
                <w:szCs w:val="19"/>
              </w:rPr>
            </w:pPr>
            <w:r>
              <w:rPr>
                <w:b/>
                <w:bCs/>
                <w:sz w:val="19"/>
                <w:szCs w:val="19"/>
              </w:rPr>
              <w:t>AG NS sch</w:t>
            </w:r>
          </w:p>
        </w:tc>
      </w:tr>
      <w:tr w:rsidR="006774F4" w:rsidRPr="007B50E3" w14:paraId="43E2330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40403B6"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90F1D42" w14:textId="77777777" w:rsidR="006774F4" w:rsidRPr="006774F4" w:rsidRDefault="006774F4" w:rsidP="00AA5586">
            <w:pPr>
              <w:spacing w:after="0" w:line="254" w:lineRule="auto"/>
              <w:rPr>
                <w:lang w:val="fr-FR"/>
              </w:rPr>
            </w:pPr>
            <w:r>
              <w:rPr>
                <w:sz w:val="19"/>
                <w:szCs w:val="19"/>
                <w:lang w:val="fr-CA"/>
              </w:rPr>
              <w:t>Nouvelle-</w:t>
            </w:r>
            <w:proofErr w:type="gramStart"/>
            <w:r>
              <w:rPr>
                <w:sz w:val="19"/>
                <w:szCs w:val="19"/>
                <w:lang w:val="fr-CA"/>
              </w:rPr>
              <w:t>Écosse  ·</w:t>
            </w:r>
            <w:proofErr w:type="gramEnd"/>
            <w:r>
              <w:rPr>
                <w:sz w:val="19"/>
                <w:szCs w:val="19"/>
                <w:lang w:val="fr-CA"/>
              </w:rPr>
              <w:t xml:space="preserve">  Audit d’optimisation des ressources par le vérificateur législatif</w:t>
            </w:r>
          </w:p>
        </w:tc>
      </w:tr>
      <w:tr w:rsidR="006774F4" w:rsidRPr="006774F4" w14:paraId="347C302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7CCB3BD"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31840D6" w14:textId="77777777" w:rsidR="006774F4" w:rsidRPr="006774F4" w:rsidRDefault="006774F4" w:rsidP="00AA5586">
            <w:pPr>
              <w:spacing w:after="0" w:line="254" w:lineRule="auto"/>
              <w:rPr>
                <w:lang w:val="fr-FR"/>
              </w:rPr>
            </w:pPr>
            <w:r>
              <w:rPr>
                <w:sz w:val="19"/>
                <w:szCs w:val="19"/>
                <w:lang w:val="fr-CA"/>
              </w:rPr>
              <w:t>Bureau du vérificateur général de la Nouvelle-Écosse</w:t>
            </w:r>
          </w:p>
        </w:tc>
      </w:tr>
      <w:tr w:rsidR="006774F4" w:rsidRPr="006774F4" w14:paraId="0FA499E2"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B501CEA"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B720131" w14:textId="77777777" w:rsidR="006774F4" w:rsidRPr="006774F4" w:rsidRDefault="006774F4" w:rsidP="00AA5586">
            <w:pPr>
              <w:spacing w:after="0" w:line="254" w:lineRule="auto"/>
              <w:rPr>
                <w:lang w:val="fr-FR"/>
              </w:rPr>
            </w:pPr>
            <w:r>
              <w:rPr>
                <w:sz w:val="19"/>
                <w:szCs w:val="19"/>
                <w:lang w:val="fr-CA"/>
              </w:rPr>
              <w:t>Rapport 2025 à l’Assemblée législative de la Nouvelle-Écosse — Audit de performance : planification des immobilisations scolaires, ministère de l’Éducation et du Développement de la petite enfance, 2025</w:t>
            </w:r>
          </w:p>
        </w:tc>
      </w:tr>
      <w:tr w:rsidR="006774F4" w14:paraId="51FD8D1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8B027ED"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8F88B1C" w14:textId="77777777" w:rsidR="006774F4" w:rsidRDefault="006774F4" w:rsidP="00AA5586">
            <w:pPr>
              <w:spacing w:after="0" w:line="254" w:lineRule="auto"/>
            </w:pPr>
            <w:r>
              <w:rPr>
                <w:sz w:val="19"/>
                <w:szCs w:val="19"/>
                <w:lang w:val="fr-CA"/>
              </w:rPr>
              <w:t>Écoles</w:t>
            </w:r>
          </w:p>
        </w:tc>
      </w:tr>
      <w:tr w:rsidR="006774F4" w:rsidRPr="006774F4" w14:paraId="188D105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71B4025"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B787E2B" w14:textId="77777777" w:rsidR="006774F4" w:rsidRPr="006774F4" w:rsidRDefault="006774F4" w:rsidP="00AA5586">
            <w:pPr>
              <w:spacing w:after="0" w:line="254" w:lineRule="auto"/>
              <w:rPr>
                <w:lang w:val="fr-FR"/>
              </w:rPr>
            </w:pPr>
            <w:r>
              <w:rPr>
                <w:sz w:val="19"/>
                <w:szCs w:val="19"/>
                <w:lang w:val="fr-CA"/>
              </w:rPr>
              <w:t>2 milliards de dollars approuvés pour 28 projets d’immobilisations scolaires depuis 2018, dont 403 millions dépensés en 2024-2025. Un milliard de dollars supplémentaire pour des écoles destinées à répondre à la croissance ou à remplacer des bâtiments existants a été annoncé depuis juin 2024.</w:t>
            </w:r>
          </w:p>
        </w:tc>
      </w:tr>
      <w:tr w:rsidR="006774F4" w:rsidRPr="006774F4" w14:paraId="415C100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6B88F7A"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1652C2A" w14:textId="77777777" w:rsidR="006774F4" w:rsidRPr="006774F4" w:rsidRDefault="006774F4" w:rsidP="00AA5586">
            <w:pPr>
              <w:spacing w:after="0" w:line="254" w:lineRule="auto"/>
              <w:rPr>
                <w:lang w:val="fr-FR"/>
              </w:rPr>
            </w:pPr>
            <w:r>
              <w:rPr>
                <w:sz w:val="19"/>
                <w:szCs w:val="19"/>
                <w:lang w:val="fr-CA"/>
              </w:rPr>
              <w:t xml:space="preserve">Non quantifié. Le Halifax Regional Centre for </w:t>
            </w:r>
            <w:proofErr w:type="spellStart"/>
            <w:r>
              <w:rPr>
                <w:sz w:val="19"/>
                <w:szCs w:val="19"/>
                <w:lang w:val="fr-CA"/>
              </w:rPr>
              <w:t>Education</w:t>
            </w:r>
            <w:proofErr w:type="spellEnd"/>
            <w:r>
              <w:rPr>
                <w:sz w:val="19"/>
                <w:szCs w:val="19"/>
                <w:lang w:val="fr-CA"/>
              </w:rPr>
              <w:t xml:space="preserve"> a consacré 162 millions de dollars à des classes mobiles et modulaires sur quatre ans.</w:t>
            </w:r>
          </w:p>
        </w:tc>
      </w:tr>
      <w:tr w:rsidR="006774F4" w14:paraId="1A78FAD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3DF2B3F"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38AAF6F" w14:textId="77777777" w:rsidR="006774F4" w:rsidRDefault="006774F4" w:rsidP="00AA5586">
            <w:pPr>
              <w:spacing w:after="0" w:line="254" w:lineRule="auto"/>
            </w:pPr>
            <w:r>
              <w:rPr>
                <w:sz w:val="19"/>
                <w:szCs w:val="19"/>
                <w:lang w:val="fr-CA"/>
              </w:rPr>
              <w:t>Non quantifié</w:t>
            </w:r>
          </w:p>
        </w:tc>
      </w:tr>
      <w:tr w:rsidR="006774F4" w14:paraId="6838707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E3C92FA"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4DF5E7B" w14:textId="77777777" w:rsidR="006774F4" w:rsidRDefault="006774F4" w:rsidP="00AA5586">
            <w:pPr>
              <w:spacing w:after="0" w:line="254" w:lineRule="auto"/>
            </w:pPr>
            <w:r>
              <w:rPr>
                <w:sz w:val="19"/>
                <w:szCs w:val="19"/>
              </w:rPr>
              <w:t>C06, C07</w:t>
            </w:r>
          </w:p>
        </w:tc>
      </w:tr>
      <w:tr w:rsidR="006774F4" w14:paraId="2BD2397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83F98FD"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ADD033F" w14:textId="77777777" w:rsidR="006774F4" w:rsidRDefault="006774F4" w:rsidP="00AA5586">
            <w:pPr>
              <w:spacing w:after="0" w:line="254" w:lineRule="auto"/>
              <w:rPr>
                <w:color w:val="auto"/>
                <w:sz w:val="19"/>
                <w:szCs w:val="19"/>
              </w:rPr>
            </w:pPr>
            <w:r>
              <w:rPr>
                <w:color w:val="auto"/>
                <w:sz w:val="19"/>
                <w:szCs w:val="19"/>
              </w:rPr>
              <w:t>Governance, Technology</w:t>
            </w:r>
          </w:p>
        </w:tc>
      </w:tr>
    </w:tbl>
    <w:p w14:paraId="3AF453B1" w14:textId="77777777" w:rsidR="006774F4" w:rsidRDefault="006774F4" w:rsidP="006774F4">
      <w:pPr>
        <w:pStyle w:val="Heading2"/>
      </w:pPr>
      <w:bookmarkStart w:id="104" w:name="__RefHeading___Toc4869_3048004937"/>
      <w:bookmarkStart w:id="105" w:name="_Toc239750695"/>
      <w:bookmarkEnd w:id="104"/>
      <w:r>
        <w:rPr>
          <w:lang w:val="fr-CA"/>
        </w:rPr>
        <w:t>Ce qui s’est passé</w:t>
      </w:r>
      <w:bookmarkEnd w:id="105"/>
    </w:p>
    <w:p w14:paraId="4A3B7AA0" w14:textId="77777777" w:rsidR="006774F4" w:rsidRPr="006774F4" w:rsidRDefault="006774F4" w:rsidP="006774F4">
      <w:pPr>
        <w:rPr>
          <w:lang w:val="fr-FR"/>
        </w:rPr>
      </w:pPr>
      <w:r>
        <w:rPr>
          <w:lang w:val="fr-CA"/>
        </w:rPr>
        <w:t>Le vérificateur général a tenté de retracer comment quatre nouvelles écoles annoncées en juin 2023 avaient été sélectionnées, sans pouvoir reconstituer le processus décisionnel. Pour deux des quatre écoles, le centre régional n’avait fourni au Ministère aucune pièce justificative.</w:t>
      </w:r>
    </w:p>
    <w:p w14:paraId="66DC3758" w14:textId="77777777" w:rsidR="006774F4" w:rsidRPr="006774F4" w:rsidRDefault="006774F4" w:rsidP="006774F4">
      <w:pPr>
        <w:rPr>
          <w:lang w:val="fr-FR"/>
        </w:rPr>
      </w:pPr>
      <w:r>
        <w:rPr>
          <w:lang w:val="fr-CA"/>
        </w:rPr>
        <w:t>Le problème ne vient pas des données d’entrée. L’audit indique clairement que les projections d’inscriptions sont raisonnables, reposent sur des données pertinentes et sont mises à jour chaque année. Du côté de la demande, la décision repose donc sur une base solide.</w:t>
      </w:r>
    </w:p>
    <w:p w14:paraId="29442867" w14:textId="77777777" w:rsidR="006774F4" w:rsidRPr="006774F4" w:rsidRDefault="006774F4" w:rsidP="006774F4">
      <w:pPr>
        <w:rPr>
          <w:lang w:val="fr-FR"/>
        </w:rPr>
      </w:pPr>
      <w:r>
        <w:rPr>
          <w:lang w:val="fr-CA"/>
        </w:rPr>
        <w:t xml:space="preserve">Le problème se situe du côté de l’offre. Vingt et un pour cent des installations scolaires, soit 77 bâtiments, n’avaient pas fait l’objet d’une évaluation de leur état dans le délai requis de cinq ans. De plus, la méthode d’établissement des priorités ne permet pas de départager les projets : ceux d’une même catégorie ne sont pas classés entre eux. Deux projets cotés « </w:t>
      </w:r>
      <w:r>
        <w:rPr>
          <w:lang w:val="fr-CA"/>
        </w:rPr>
        <w:lastRenderedPageBreak/>
        <w:t>moyen » se retrouvent donc au même niveau, et le Ministère n’a pas pu expliquer pourquoi il avait recommandé ces deux projets plutôt que les neuf autres ayant reçu la même cote.</w:t>
      </w:r>
    </w:p>
    <w:p w14:paraId="36CEAD71" w14:textId="77777777" w:rsidR="006774F4" w:rsidRDefault="006774F4" w:rsidP="006774F4">
      <w:pPr>
        <w:pStyle w:val="Heading2"/>
        <w:spacing w:after="110"/>
      </w:pPr>
      <w:bookmarkStart w:id="106" w:name="__RefHeading___Toc4871_3048004937"/>
      <w:bookmarkStart w:id="107" w:name="_Toc239750696"/>
      <w:bookmarkEnd w:id="106"/>
      <w:r>
        <w:rPr>
          <w:lang w:val="fr-CA"/>
        </w:rPr>
        <w:t>Constats du rapport</w:t>
      </w:r>
      <w:bookmarkEnd w:id="107"/>
    </w:p>
    <w:p w14:paraId="31E0A078" w14:textId="77777777" w:rsidR="006774F4" w:rsidRPr="006774F4" w:rsidRDefault="006774F4" w:rsidP="006774F4">
      <w:pPr>
        <w:pStyle w:val="ListParagraph"/>
        <w:numPr>
          <w:ilvl w:val="0"/>
          <w:numId w:val="28"/>
        </w:numPr>
        <w:spacing w:after="100" w:line="276" w:lineRule="auto"/>
        <w:contextualSpacing w:val="0"/>
        <w:rPr>
          <w:sz w:val="21"/>
          <w:szCs w:val="21"/>
          <w:lang w:val="fr-FR"/>
        </w:rPr>
      </w:pPr>
      <w:r>
        <w:rPr>
          <w:sz w:val="21"/>
          <w:szCs w:val="21"/>
          <w:lang w:val="fr-CA"/>
        </w:rPr>
        <w:t xml:space="preserve">« Nous n’avons pas été en mesure de retracer comment le Ministère est arrivé à la décision concernant les quatre nouvelles écoles destinées à répondre </w:t>
      </w:r>
      <w:proofErr w:type="gramStart"/>
      <w:r>
        <w:rPr>
          <w:sz w:val="21"/>
          <w:szCs w:val="21"/>
          <w:lang w:val="fr-CA"/>
        </w:rPr>
        <w:t>à la croissance annoncées</w:t>
      </w:r>
      <w:proofErr w:type="gramEnd"/>
      <w:r>
        <w:rPr>
          <w:sz w:val="21"/>
          <w:szCs w:val="21"/>
          <w:lang w:val="fr-CA"/>
        </w:rPr>
        <w:t xml:space="preserve"> en juin 2023 »</w:t>
      </w:r>
    </w:p>
    <w:p w14:paraId="1178DBF6" w14:textId="77777777" w:rsidR="006774F4" w:rsidRPr="006774F4" w:rsidRDefault="006774F4" w:rsidP="006774F4">
      <w:pPr>
        <w:pStyle w:val="ListParagraph"/>
        <w:numPr>
          <w:ilvl w:val="0"/>
          <w:numId w:val="28"/>
        </w:numPr>
        <w:spacing w:after="100" w:line="276" w:lineRule="auto"/>
        <w:contextualSpacing w:val="0"/>
        <w:rPr>
          <w:sz w:val="21"/>
          <w:szCs w:val="21"/>
          <w:lang w:val="fr-FR"/>
        </w:rPr>
      </w:pPr>
      <w:r>
        <w:rPr>
          <w:sz w:val="21"/>
          <w:szCs w:val="21"/>
          <w:lang w:val="fr-CA"/>
        </w:rPr>
        <w:t>« Parmi les quatre écoles approuvées, le HRCE n’avait fourni au Ministère aucune pièce justificative pour deux d’entre elles »</w:t>
      </w:r>
    </w:p>
    <w:p w14:paraId="649B20F7" w14:textId="77777777" w:rsidR="006774F4" w:rsidRPr="006774F4" w:rsidRDefault="006774F4" w:rsidP="006774F4">
      <w:pPr>
        <w:pStyle w:val="ListParagraph"/>
        <w:numPr>
          <w:ilvl w:val="0"/>
          <w:numId w:val="28"/>
        </w:numPr>
        <w:spacing w:after="100" w:line="276" w:lineRule="auto"/>
        <w:contextualSpacing w:val="0"/>
        <w:rPr>
          <w:sz w:val="21"/>
          <w:szCs w:val="21"/>
          <w:lang w:val="fr-FR"/>
        </w:rPr>
      </w:pPr>
      <w:r>
        <w:rPr>
          <w:sz w:val="21"/>
          <w:szCs w:val="21"/>
          <w:lang w:val="fr-CA"/>
        </w:rPr>
        <w:t>« Les projections d’inscriptions semblent raisonnables, reposent sur des données pertinentes et utilisent des données d’inscription mises à jour annuellement »</w:t>
      </w:r>
    </w:p>
    <w:p w14:paraId="2E4C9134" w14:textId="77777777" w:rsidR="006774F4" w:rsidRPr="006774F4" w:rsidRDefault="006774F4" w:rsidP="006774F4">
      <w:pPr>
        <w:pStyle w:val="ListParagraph"/>
        <w:numPr>
          <w:ilvl w:val="0"/>
          <w:numId w:val="28"/>
        </w:numPr>
        <w:spacing w:after="100" w:line="276" w:lineRule="auto"/>
        <w:contextualSpacing w:val="0"/>
        <w:rPr>
          <w:sz w:val="21"/>
          <w:szCs w:val="21"/>
          <w:lang w:val="fr-FR"/>
        </w:rPr>
      </w:pPr>
      <w:r>
        <w:rPr>
          <w:sz w:val="21"/>
          <w:szCs w:val="21"/>
          <w:lang w:val="fr-CA"/>
        </w:rPr>
        <w:t>« 21 %, soit 77 installations scolaires, n’avaient pas fait l’objet d’une évaluation de leur état au cours des cinq dernières années, comme l’exigeait la politique »</w:t>
      </w:r>
    </w:p>
    <w:p w14:paraId="4A6B39D4" w14:textId="77777777" w:rsidR="006774F4" w:rsidRPr="006774F4" w:rsidRDefault="006774F4" w:rsidP="006774F4">
      <w:pPr>
        <w:pStyle w:val="ListParagraph"/>
        <w:numPr>
          <w:ilvl w:val="0"/>
          <w:numId w:val="28"/>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Ministère « n’a pas été en mesure d’expliquer pourquoi il avait recommandé ces deux projets plutôt que les neuf autres classés dans la même catégorie “moyen” »</w:t>
      </w:r>
    </w:p>
    <w:p w14:paraId="0E964DDD" w14:textId="77777777" w:rsidR="006774F4" w:rsidRDefault="006774F4" w:rsidP="006774F4">
      <w:pPr>
        <w:pStyle w:val="Heading2"/>
      </w:pPr>
      <w:bookmarkStart w:id="108" w:name="__RefHeading___Toc4873_3048004937"/>
      <w:bookmarkEnd w:id="108"/>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817"/>
        <w:gridCol w:w="2423"/>
      </w:tblGrid>
      <w:tr w:rsidR="006774F4" w14:paraId="3E01823C" w14:textId="77777777" w:rsidTr="00AA5586">
        <w:trPr>
          <w:cantSplit/>
          <w:tblHeader/>
        </w:trPr>
        <w:tc>
          <w:tcPr>
            <w:tcW w:w="900" w:type="dxa"/>
            <w:tcBorders>
              <w:bottom w:val="single" w:sz="4" w:space="0" w:color="000000"/>
            </w:tcBorders>
            <w:shd w:val="clear" w:color="auto" w:fill="1B3A6B"/>
          </w:tcPr>
          <w:p w14:paraId="3735D494"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2728FB92" w14:textId="77777777" w:rsidR="006774F4" w:rsidRDefault="006774F4" w:rsidP="00AA5586">
            <w:pPr>
              <w:spacing w:after="0" w:line="254" w:lineRule="auto"/>
              <w:jc w:val="center"/>
            </w:pPr>
            <w:r>
              <w:rPr>
                <w:b/>
                <w:bCs/>
                <w:caps/>
                <w:color w:val="FFFFFF"/>
                <w:spacing w:val="16"/>
                <w:sz w:val="18"/>
                <w:szCs w:val="18"/>
                <w:lang w:val="fr-CA"/>
              </w:rPr>
              <w:t>Cause</w:t>
            </w:r>
          </w:p>
        </w:tc>
        <w:tc>
          <w:tcPr>
            <w:tcW w:w="1817" w:type="dxa"/>
            <w:tcBorders>
              <w:bottom w:val="single" w:sz="4" w:space="0" w:color="000000"/>
            </w:tcBorders>
            <w:shd w:val="clear" w:color="auto" w:fill="1B3A6B"/>
          </w:tcPr>
          <w:p w14:paraId="6A47E6A7"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423" w:type="dxa"/>
            <w:tcBorders>
              <w:bottom w:val="single" w:sz="4" w:space="0" w:color="000000"/>
            </w:tcBorders>
            <w:shd w:val="clear" w:color="auto" w:fill="1B3A6B"/>
          </w:tcPr>
          <w:p w14:paraId="636893F8"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20E3A00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EE1C46"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BF9985"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717955" w14:textId="77777777" w:rsidR="006774F4" w:rsidRDefault="006774F4" w:rsidP="00AA5586">
            <w:pPr>
              <w:spacing w:after="0" w:line="254" w:lineRule="auto"/>
              <w:jc w:val="center"/>
            </w:pPr>
            <w:r>
              <w:rPr>
                <w:b/>
                <w:bCs/>
                <w:color w:val="B85C30"/>
                <w:sz w:val="18"/>
                <w:szCs w:val="18"/>
                <w:lang w:val="fr-CA"/>
              </w:rPr>
              <w:t>34,5 %</w:t>
            </w:r>
          </w:p>
        </w:tc>
        <w:tc>
          <w:tcPr>
            <w:tcW w:w="24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4868A7" w14:textId="77777777" w:rsidR="006774F4" w:rsidRDefault="006774F4" w:rsidP="00AA5586">
            <w:pPr>
              <w:spacing w:after="0" w:line="254" w:lineRule="auto"/>
              <w:jc w:val="center"/>
            </w:pPr>
            <w:r>
              <w:rPr>
                <w:sz w:val="18"/>
                <w:szCs w:val="18"/>
              </w:rPr>
              <w:t>Governance</w:t>
            </w:r>
          </w:p>
        </w:tc>
      </w:tr>
      <w:tr w:rsidR="006774F4" w14:paraId="5764D33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77F8F03"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39E5372"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817"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BF42D67" w14:textId="77777777" w:rsidR="006774F4" w:rsidRDefault="006774F4" w:rsidP="00AA5586">
            <w:pPr>
              <w:spacing w:after="0" w:line="254" w:lineRule="auto"/>
              <w:jc w:val="center"/>
            </w:pPr>
            <w:r>
              <w:rPr>
                <w:b/>
                <w:bCs/>
                <w:color w:val="B85C30"/>
                <w:sz w:val="18"/>
                <w:szCs w:val="18"/>
                <w:lang w:val="fr-CA"/>
              </w:rPr>
              <w:t>29,1 %</w:t>
            </w:r>
          </w:p>
        </w:tc>
        <w:tc>
          <w:tcPr>
            <w:tcW w:w="2423"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17EC552" w14:textId="77777777" w:rsidR="006774F4" w:rsidRDefault="006774F4" w:rsidP="00AA5586">
            <w:pPr>
              <w:spacing w:after="0" w:line="254" w:lineRule="auto"/>
              <w:jc w:val="center"/>
            </w:pPr>
            <w:r>
              <w:rPr>
                <w:sz w:val="18"/>
                <w:szCs w:val="18"/>
              </w:rPr>
              <w:t>Technology</w:t>
            </w:r>
          </w:p>
        </w:tc>
      </w:tr>
    </w:tbl>
    <w:p w14:paraId="52072165" w14:textId="77777777" w:rsidR="006774F4" w:rsidRPr="006774F4" w:rsidRDefault="006774F4" w:rsidP="006774F4">
      <w:pPr>
        <w:pStyle w:val="Heading2"/>
        <w:rPr>
          <w:lang w:val="fr-FR"/>
        </w:rPr>
      </w:pPr>
      <w:bookmarkStart w:id="109" w:name="__RefHeading___Toc4875_3048004937"/>
      <w:bookmarkStart w:id="110" w:name="_Toc239750698"/>
      <w:bookmarkEnd w:id="109"/>
      <w:r>
        <w:rPr>
          <w:lang w:val="fr-CA"/>
        </w:rPr>
        <w:t xml:space="preserve">Ce qu’une intervention de Clarity </w:t>
      </w:r>
      <w:proofErr w:type="spellStart"/>
      <w:r>
        <w:rPr>
          <w:lang w:val="fr-CA"/>
        </w:rPr>
        <w:t>Builders</w:t>
      </w:r>
      <w:proofErr w:type="spellEnd"/>
      <w:r>
        <w:rPr>
          <w:lang w:val="fr-CA"/>
        </w:rPr>
        <w:t xml:space="preserve"> aurait permis d’aborder</w:t>
      </w:r>
      <w:bookmarkEnd w:id="110"/>
    </w:p>
    <w:p w14:paraId="7698FFAC" w14:textId="77777777" w:rsidR="006774F4" w:rsidRPr="006774F4" w:rsidRDefault="006774F4" w:rsidP="006774F4">
      <w:pPr>
        <w:pStyle w:val="ListParagraph"/>
        <w:numPr>
          <w:ilvl w:val="0"/>
          <w:numId w:val="17"/>
        </w:numPr>
        <w:spacing w:after="100" w:line="276" w:lineRule="auto"/>
        <w:contextualSpacing w:val="0"/>
        <w:rPr>
          <w:sz w:val="21"/>
          <w:szCs w:val="21"/>
          <w:lang w:val="fr-FR"/>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Lorsqu’un centre régional propose une école, il soumet un dossier. Le contenu exigé de ce dossier constitue une exigence d’information; dans deux cas sur quatre, aucun document n’avait été fourni.</w:t>
      </w:r>
    </w:p>
    <w:p w14:paraId="66955D79" w14:textId="77777777" w:rsidR="006774F4" w:rsidRPr="006774F4" w:rsidRDefault="006774F4" w:rsidP="006774F4">
      <w:pPr>
        <w:pStyle w:val="ListParagraph"/>
        <w:numPr>
          <w:ilvl w:val="0"/>
          <w:numId w:val="17"/>
        </w:numPr>
        <w:spacing w:after="100" w:line="276" w:lineRule="auto"/>
        <w:contextualSpacing w:val="0"/>
        <w:rPr>
          <w:sz w:val="21"/>
          <w:szCs w:val="21"/>
          <w:lang w:val="fr-FR"/>
        </w:rPr>
      </w:pPr>
      <w:r>
        <w:rPr>
          <w:b/>
          <w:bCs/>
          <w:color w:val="1B3A6B"/>
          <w:sz w:val="21"/>
          <w:szCs w:val="21"/>
          <w:lang w:val="fr-CA"/>
        </w:rPr>
        <w:t xml:space="preserve">5.5 Information management design.  </w:t>
      </w:r>
      <w:r>
        <w:rPr>
          <w:sz w:val="21"/>
          <w:szCs w:val="21"/>
          <w:lang w:val="fr-CA"/>
        </w:rPr>
        <w:t>Un cycle d’évaluation de l’état dont 77 bâtiments ont dépassé la période prescrite révèle l’absence d’un mécanisme qui fasse respecter l’actualité des données.</w:t>
      </w:r>
    </w:p>
    <w:p w14:paraId="0B2FCBB1" w14:textId="77777777" w:rsidR="006774F4" w:rsidRPr="006774F4" w:rsidRDefault="006774F4" w:rsidP="006774F4">
      <w:pPr>
        <w:pStyle w:val="ListParagraph"/>
        <w:numPr>
          <w:ilvl w:val="0"/>
          <w:numId w:val="17"/>
        </w:numPr>
        <w:spacing w:after="100" w:line="276" w:lineRule="auto"/>
        <w:contextualSpacing w:val="0"/>
        <w:rPr>
          <w:sz w:val="21"/>
          <w:szCs w:val="21"/>
          <w:lang w:val="fr-FR"/>
        </w:rPr>
      </w:pPr>
      <w:r w:rsidRPr="006774F4">
        <w:rPr>
          <w:b/>
          <w:bCs/>
          <w:color w:val="1B3A6B"/>
          <w:sz w:val="21"/>
          <w:szCs w:val="21"/>
          <w:lang w:val="en-US"/>
        </w:rPr>
        <w:t xml:space="preserve">5.12 Classification and cost-data alignment.  </w:t>
      </w:r>
      <w:r>
        <w:rPr>
          <w:sz w:val="21"/>
          <w:szCs w:val="21"/>
          <w:lang w:val="fr-CA"/>
        </w:rPr>
        <w:t>Une catégorie de priorité qui ne permet pas de départager 11 projets n’est pas un classement. Le travail consiste à définir une pondération à l’intérieur de chaque catégorie.</w:t>
      </w:r>
    </w:p>
    <w:p w14:paraId="43A60BE2" w14:textId="77777777" w:rsidR="006774F4" w:rsidRPr="006774F4" w:rsidRDefault="006774F4" w:rsidP="006774F4">
      <w:pPr>
        <w:pStyle w:val="Heading2"/>
        <w:rPr>
          <w:lang w:val="fr-FR"/>
        </w:rPr>
      </w:pPr>
      <w:bookmarkStart w:id="111" w:name="__RefHeading___Toc4877_3048004937"/>
      <w:bookmarkStart w:id="112" w:name="_Toc239750699"/>
      <w:bookmarkEnd w:id="111"/>
      <w:r>
        <w:rPr>
          <w:lang w:val="fr-CA"/>
        </w:rPr>
        <w:t>Scénario illustratif</w:t>
      </w:r>
      <w:bookmarkEnd w:id="112"/>
    </w:p>
    <w:p w14:paraId="5422BAFC" w14:textId="77777777" w:rsidR="006774F4" w:rsidRPr="006774F4" w:rsidRDefault="006774F4" w:rsidP="006774F4">
      <w:pPr>
        <w:rPr>
          <w:lang w:val="fr-FR"/>
        </w:rPr>
      </w:pPr>
      <w:r>
        <w:rPr>
          <w:lang w:val="fr-CA"/>
        </w:rPr>
        <w:t>Aucun montant n’est modélisé ici. L’audit ne chiffre pas le coût de la méthode de sélection, et nous ne le ferons pas non plus.</w:t>
      </w:r>
    </w:p>
    <w:p w14:paraId="536C463D" w14:textId="77777777" w:rsidR="006774F4" w:rsidRPr="006774F4" w:rsidRDefault="006774F4" w:rsidP="006774F4">
      <w:pPr>
        <w:rPr>
          <w:lang w:val="fr-FR"/>
        </w:rPr>
      </w:pPr>
      <w:r>
        <w:rPr>
          <w:lang w:val="fr-CA"/>
        </w:rPr>
        <w:t xml:space="preserve">L’élément illustratif est l’exposition associée au milliard de dollars de projets annoncés depuis juin 2024. L’absence de trace des décisions apparaît dans 34,5 % des entrées </w:t>
      </w:r>
      <w:r>
        <w:rPr>
          <w:lang w:val="fr-CA"/>
        </w:rPr>
        <w:lastRenderedPageBreak/>
        <w:t>canadiennes du registre et les informations peu fiables sur l’état des biens dans 29,1 %. Lorsque les deux problèmes sont présents dans un programme d’immobilisations, le risque n’est pas nécessairement de construire la mauvaise école. Il est de ne pas pouvoir démontrer que la bonne école a été choisie — un problème différent, mais plus corrosif pour la confiance.</w:t>
      </w:r>
    </w:p>
    <w:p w14:paraId="7BCF7330" w14:textId="77777777" w:rsidR="006774F4" w:rsidRPr="006774F4" w:rsidRDefault="006774F4" w:rsidP="006774F4">
      <w:pPr>
        <w:pStyle w:val="Heading2"/>
        <w:spacing w:after="50"/>
        <w:rPr>
          <w:lang w:val="fr-FR"/>
        </w:rPr>
      </w:pPr>
      <w:bookmarkStart w:id="113" w:name="__RefHeading___Toc4879_3048004937"/>
      <w:bookmarkEnd w:id="113"/>
      <w:r>
        <w:rPr>
          <w:lang w:val="fr-CA"/>
        </w:rPr>
        <w:t>Contrefactuel</w:t>
      </w:r>
    </w:p>
    <w:p w14:paraId="60830141"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les quatre écoles choisies étaient les mauvaises. L’audit ne le dit pas et rien ne permet de l’affirmer.</w:t>
      </w:r>
    </w:p>
    <w:p w14:paraId="1CD40E88"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 programme de 2 milliards de dollars dans lequel deux approbations sur quatre ont été accordées sans pièces justificatives, et où des projets classés au même niveau sont départagés par un jugement qui n’est pas consigné, ne peut démontrer comment ses décisions ont été prises.</w:t>
      </w:r>
    </w:p>
    <w:p w14:paraId="0E3E2ACF" w14:textId="77777777" w:rsidR="006774F4" w:rsidRPr="006774F4" w:rsidRDefault="006774F4" w:rsidP="006774F4">
      <w:pPr>
        <w:pStyle w:val="Heading1"/>
        <w:rPr>
          <w:b/>
          <w:bCs/>
          <w:color w:val="1B3A6B"/>
          <w:sz w:val="28"/>
          <w:szCs w:val="28"/>
          <w:lang w:val="fr-FR"/>
        </w:rPr>
      </w:pPr>
      <w:bookmarkStart w:id="114" w:name="__RefHeading___Toc4881_3048004937"/>
      <w:bookmarkStart w:id="115" w:name="_Toc239750700"/>
      <w:bookmarkEnd w:id="114"/>
      <w:r>
        <w:rPr>
          <w:b/>
          <w:bCs/>
          <w:color w:val="1B3A6B"/>
          <w:sz w:val="28"/>
          <w:szCs w:val="28"/>
          <w:lang w:val="fr-CA"/>
        </w:rPr>
        <w:t>Cas 9.  Projet d’énergie propre du Site C</w:t>
      </w:r>
      <w:bookmarkEnd w:id="115"/>
    </w:p>
    <w:p w14:paraId="01FD11E8"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3AF57ED7" w14:textId="77777777" w:rsidTr="00AA5586">
        <w:trPr>
          <w:cantSplit/>
        </w:trPr>
        <w:tc>
          <w:tcPr>
            <w:tcW w:w="2700" w:type="dxa"/>
            <w:tcBorders>
              <w:bottom w:val="single" w:sz="4" w:space="0" w:color="000000"/>
            </w:tcBorders>
            <w:shd w:val="clear" w:color="auto" w:fill="E2E8F0"/>
            <w:vAlign w:val="center"/>
          </w:tcPr>
          <w:p w14:paraId="64A4A86D"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1BDE51D1" w14:textId="77777777" w:rsidR="006774F4" w:rsidRDefault="006774F4" w:rsidP="00AA5586">
            <w:pPr>
              <w:spacing w:after="0" w:line="254" w:lineRule="auto"/>
              <w:jc w:val="center"/>
              <w:rPr>
                <w:b/>
                <w:bCs/>
                <w:sz w:val="19"/>
                <w:szCs w:val="19"/>
              </w:rPr>
            </w:pPr>
            <w:r>
              <w:rPr>
                <w:b/>
                <w:bCs/>
                <w:sz w:val="19"/>
                <w:szCs w:val="19"/>
              </w:rPr>
              <w:t>WEST-08</w:t>
            </w:r>
          </w:p>
        </w:tc>
      </w:tr>
      <w:tr w:rsidR="006774F4" w:rsidRPr="007B50E3" w14:paraId="00B9F15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70FD59E"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35831499" w14:textId="77777777" w:rsidR="006774F4" w:rsidRPr="006774F4" w:rsidRDefault="006774F4" w:rsidP="00AA5586">
            <w:pPr>
              <w:spacing w:after="0" w:line="254" w:lineRule="auto"/>
              <w:rPr>
                <w:lang w:val="fr-FR"/>
              </w:rPr>
            </w:pPr>
            <w:r>
              <w:rPr>
                <w:sz w:val="19"/>
                <w:szCs w:val="19"/>
                <w:lang w:val="fr-CA"/>
              </w:rPr>
              <w:t>Colombie-</w:t>
            </w:r>
            <w:proofErr w:type="gramStart"/>
            <w:r>
              <w:rPr>
                <w:sz w:val="19"/>
                <w:szCs w:val="19"/>
                <w:lang w:val="fr-CA"/>
              </w:rPr>
              <w:t>Britannique  ·</w:t>
            </w:r>
            <w:proofErr w:type="gramEnd"/>
            <w:r>
              <w:rPr>
                <w:sz w:val="19"/>
                <w:szCs w:val="19"/>
                <w:lang w:val="fr-CA"/>
              </w:rPr>
              <w:t xml:space="preserve">  Audit d’optimisation des ressources par le vérificateur législatif</w:t>
            </w:r>
          </w:p>
        </w:tc>
      </w:tr>
      <w:tr w:rsidR="006774F4" w:rsidRPr="006774F4" w14:paraId="3102D9C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86CACE9"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7C324EB8" w14:textId="77777777" w:rsidR="006774F4" w:rsidRPr="006774F4" w:rsidRDefault="006774F4" w:rsidP="00AA5586">
            <w:pPr>
              <w:spacing w:after="0" w:line="254" w:lineRule="auto"/>
              <w:rPr>
                <w:lang w:val="fr-FR"/>
              </w:rPr>
            </w:pPr>
            <w:r>
              <w:rPr>
                <w:sz w:val="19"/>
                <w:szCs w:val="19"/>
                <w:lang w:val="fr-CA"/>
              </w:rPr>
              <w:t>Bureau du vérificateur général de la Colombie-Britannique</w:t>
            </w:r>
          </w:p>
        </w:tc>
      </w:tr>
      <w:tr w:rsidR="006774F4" w:rsidRPr="006774F4" w14:paraId="03A7A95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568DD7D"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3305E179" w14:textId="77777777" w:rsidR="006774F4" w:rsidRPr="006774F4" w:rsidRDefault="006774F4" w:rsidP="00AA5586">
            <w:pPr>
              <w:spacing w:after="0" w:line="254" w:lineRule="auto"/>
              <w:rPr>
                <w:lang w:val="fr-FR"/>
              </w:rPr>
            </w:pPr>
            <w:r>
              <w:rPr>
                <w:sz w:val="19"/>
                <w:szCs w:val="19"/>
                <w:lang w:val="fr-CA"/>
              </w:rPr>
              <w:t>Gestion du risque de fraude — barrage et projet hydroélectrique Site C, 2022</w:t>
            </w:r>
          </w:p>
        </w:tc>
      </w:tr>
      <w:tr w:rsidR="006774F4" w14:paraId="298EADD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219166C"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277E0B92" w14:textId="77777777" w:rsidR="006774F4" w:rsidRDefault="006774F4" w:rsidP="00AA5586">
            <w:pPr>
              <w:spacing w:after="0" w:line="254" w:lineRule="auto"/>
            </w:pPr>
            <w:r>
              <w:rPr>
                <w:sz w:val="19"/>
                <w:szCs w:val="19"/>
                <w:lang w:val="fr-CA"/>
              </w:rPr>
              <w:t>Production d’énergie</w:t>
            </w:r>
          </w:p>
        </w:tc>
      </w:tr>
      <w:tr w:rsidR="006774F4" w:rsidRPr="006774F4" w14:paraId="54A3345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1AEF33B"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0FB60324" w14:textId="77777777" w:rsidR="006774F4" w:rsidRPr="006774F4" w:rsidRDefault="006774F4" w:rsidP="00AA5586">
            <w:pPr>
              <w:spacing w:after="0" w:line="254" w:lineRule="auto"/>
              <w:rPr>
                <w:lang w:val="fr-FR"/>
              </w:rPr>
            </w:pPr>
            <w:r>
              <w:rPr>
                <w:sz w:val="19"/>
                <w:szCs w:val="19"/>
                <w:lang w:val="fr-CA"/>
              </w:rPr>
              <w:t>Coût de construction estimé à 16 milliards de dollars</w:t>
            </w:r>
          </w:p>
        </w:tc>
      </w:tr>
      <w:tr w:rsidR="006774F4" w:rsidRPr="006774F4" w14:paraId="27A2265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41C23FC"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169D325F" w14:textId="77777777" w:rsidR="006774F4" w:rsidRPr="006774F4" w:rsidRDefault="006774F4" w:rsidP="00AA5586">
            <w:pPr>
              <w:spacing w:after="0" w:line="254" w:lineRule="auto"/>
              <w:rPr>
                <w:lang w:val="fr-FR"/>
              </w:rPr>
            </w:pPr>
            <w:r>
              <w:rPr>
                <w:sz w:val="19"/>
                <w:szCs w:val="19"/>
                <w:lang w:val="fr-CA"/>
              </w:rPr>
              <w:t>Non évalué dans cet audit</w:t>
            </w:r>
          </w:p>
        </w:tc>
      </w:tr>
      <w:tr w:rsidR="006774F4" w:rsidRPr="006774F4" w14:paraId="285C170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2A61B3F"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096FFD7B" w14:textId="77777777" w:rsidR="006774F4" w:rsidRPr="006774F4" w:rsidRDefault="006774F4" w:rsidP="00AA5586">
            <w:pPr>
              <w:spacing w:after="0" w:line="254" w:lineRule="auto"/>
              <w:rPr>
                <w:lang w:val="fr-FR"/>
              </w:rPr>
            </w:pPr>
            <w:r>
              <w:rPr>
                <w:sz w:val="19"/>
                <w:szCs w:val="19"/>
                <w:lang w:val="fr-CA"/>
              </w:rPr>
              <w:t>Non évalué dans cet audit</w:t>
            </w:r>
          </w:p>
        </w:tc>
      </w:tr>
      <w:tr w:rsidR="006774F4" w14:paraId="3095FB8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FEB2121"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2A62EFCB" w14:textId="77777777" w:rsidR="006774F4" w:rsidRDefault="006774F4" w:rsidP="00AA5586">
            <w:pPr>
              <w:spacing w:after="0" w:line="254" w:lineRule="auto"/>
            </w:pPr>
            <w:r>
              <w:rPr>
                <w:sz w:val="19"/>
                <w:szCs w:val="19"/>
              </w:rPr>
              <w:t>C04, C09, C15</w:t>
            </w:r>
          </w:p>
        </w:tc>
      </w:tr>
      <w:tr w:rsidR="006774F4" w14:paraId="584957D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4DEB659"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tcPr>
          <w:p w14:paraId="6F061B11" w14:textId="77777777" w:rsidR="006774F4" w:rsidRDefault="006774F4" w:rsidP="00AA5586">
            <w:pPr>
              <w:spacing w:after="0" w:line="254" w:lineRule="auto"/>
              <w:rPr>
                <w:color w:val="auto"/>
                <w:sz w:val="19"/>
                <w:szCs w:val="19"/>
              </w:rPr>
            </w:pPr>
            <w:r>
              <w:rPr>
                <w:color w:val="auto"/>
                <w:sz w:val="19"/>
                <w:szCs w:val="19"/>
              </w:rPr>
              <w:t>Contracts, Governance</w:t>
            </w:r>
          </w:p>
        </w:tc>
      </w:tr>
    </w:tbl>
    <w:p w14:paraId="10BC4FFE" w14:textId="77777777" w:rsidR="006774F4" w:rsidRDefault="006774F4" w:rsidP="006774F4">
      <w:pPr>
        <w:pStyle w:val="Heading2"/>
      </w:pPr>
      <w:bookmarkStart w:id="116" w:name="__RefHeading___Toc4883_3048004937"/>
      <w:bookmarkStart w:id="117" w:name="_Toc239750701"/>
      <w:bookmarkEnd w:id="116"/>
      <w:r>
        <w:rPr>
          <w:lang w:val="fr-CA"/>
        </w:rPr>
        <w:t>Ce qui s’est passé</w:t>
      </w:r>
      <w:bookmarkEnd w:id="117"/>
    </w:p>
    <w:p w14:paraId="2355782D" w14:textId="77777777" w:rsidR="006774F4" w:rsidRPr="006774F4" w:rsidRDefault="006774F4" w:rsidP="006774F4">
      <w:pPr>
        <w:rPr>
          <w:lang w:val="fr-FR"/>
        </w:rPr>
      </w:pPr>
      <w:r>
        <w:rPr>
          <w:lang w:val="fr-CA"/>
        </w:rPr>
        <w:t>Ce cas est inclus pour une raison inhabituelle. Il s’agit de l’une des deux seules entrées canadiennes parmi les 15 cas retenus pour lesquelles le registre ne signale pas de problème d’information. Il montre à quoi ressemble une lacune de contrôle avant qu’un incident ne survienne.</w:t>
      </w:r>
    </w:p>
    <w:p w14:paraId="20F012F8" w14:textId="77777777" w:rsidR="006774F4" w:rsidRPr="006774F4" w:rsidRDefault="006774F4" w:rsidP="006774F4">
      <w:pPr>
        <w:rPr>
          <w:lang w:val="fr-FR"/>
        </w:rPr>
      </w:pPr>
      <w:r>
        <w:rPr>
          <w:lang w:val="fr-CA"/>
        </w:rPr>
        <w:t xml:space="preserve">BC Hydro construisait un barrage de 16 milliards de dollars. Le vérificateur général a constaté que l’organisation disposait de certains éléments de gestion du risque de fraude dans son cadre général de contrôle, mais qu’elle n’avait pas établi de programme de gestion du risque </w:t>
      </w:r>
      <w:r>
        <w:rPr>
          <w:lang w:val="fr-CA"/>
        </w:rPr>
        <w:lastRenderedPageBreak/>
        <w:t>de fraude propre au projet Site C. Elle n’avait effectué aucune évaluation du risque de fraude pour le projet avant l’audit et a rédigé sa première évaluation pendant que l’audit était en cours. Le conseil d’administration n’a approuvé une politique sur le risque de fraude que le 12 janvier 2022, après huit années de construction.</w:t>
      </w:r>
    </w:p>
    <w:p w14:paraId="3514658C" w14:textId="77777777" w:rsidR="006774F4" w:rsidRPr="006774F4" w:rsidRDefault="006774F4" w:rsidP="006774F4">
      <w:pPr>
        <w:rPr>
          <w:lang w:val="fr-FR"/>
        </w:rPr>
      </w:pPr>
      <w:r>
        <w:rPr>
          <w:lang w:val="fr-CA"/>
        </w:rPr>
        <w:t>L’audit a déterminé que les risques de fraude liés à l’approvisionnement et aux contrats étaient ceux qui pouvaient avoir les conséquences les plus importantes. Aucune fraude n’a été constatée. Le problème relevé est plutôt que personne ne cherchait activement à la détecter.</w:t>
      </w:r>
    </w:p>
    <w:p w14:paraId="6A888133" w14:textId="77777777" w:rsidR="006774F4" w:rsidRDefault="006774F4" w:rsidP="006774F4">
      <w:pPr>
        <w:pStyle w:val="Heading2"/>
      </w:pPr>
      <w:bookmarkStart w:id="118" w:name="__RefHeading___Toc4885_3048004937"/>
      <w:bookmarkStart w:id="119" w:name="_Toc239750702"/>
      <w:bookmarkEnd w:id="118"/>
      <w:r>
        <w:rPr>
          <w:lang w:val="fr-CA"/>
        </w:rPr>
        <w:t>Constats du rapport</w:t>
      </w:r>
      <w:bookmarkEnd w:id="119"/>
    </w:p>
    <w:p w14:paraId="11D17D76" w14:textId="77777777" w:rsidR="006774F4" w:rsidRPr="006774F4" w:rsidRDefault="006774F4" w:rsidP="006774F4">
      <w:pPr>
        <w:pStyle w:val="ListParagraph"/>
        <w:numPr>
          <w:ilvl w:val="0"/>
          <w:numId w:val="30"/>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cadre de contrôle interne de BC Hydro comprend certains éléments de gestion du risque de fraude, mais aucun programme de gestion du risque de fraude n’a été établi spécifiquement pour le projet Site C</w:t>
      </w:r>
    </w:p>
    <w:p w14:paraId="2CC6DBFA" w14:textId="77777777" w:rsidR="006774F4" w:rsidRPr="006774F4" w:rsidRDefault="006774F4" w:rsidP="006774F4">
      <w:pPr>
        <w:pStyle w:val="ListParagraph"/>
        <w:numPr>
          <w:ilvl w:val="0"/>
          <w:numId w:val="30"/>
        </w:numPr>
        <w:spacing w:after="100" w:line="276" w:lineRule="auto"/>
        <w:contextualSpacing w:val="0"/>
        <w:rPr>
          <w:sz w:val="21"/>
          <w:szCs w:val="21"/>
          <w:lang w:val="fr-FR"/>
        </w:rPr>
      </w:pPr>
      <w:proofErr w:type="gramStart"/>
      <w:r>
        <w:rPr>
          <w:sz w:val="21"/>
          <w:szCs w:val="21"/>
          <w:lang w:val="fr-CA"/>
        </w:rPr>
        <w:t>avant</w:t>
      </w:r>
      <w:proofErr w:type="gramEnd"/>
      <w:r>
        <w:rPr>
          <w:sz w:val="21"/>
          <w:szCs w:val="21"/>
          <w:lang w:val="fr-CA"/>
        </w:rPr>
        <w:t xml:space="preserve"> l’audit, BC Hydro n’avait réalisé aucune évaluation du risque de fraude pour le projet Site C, et la première a été rédigée pendant l’audit</w:t>
      </w:r>
    </w:p>
    <w:p w14:paraId="63F1E3EE" w14:textId="77777777" w:rsidR="006774F4" w:rsidRPr="006774F4" w:rsidRDefault="006774F4" w:rsidP="006774F4">
      <w:pPr>
        <w:pStyle w:val="ListParagraph"/>
        <w:numPr>
          <w:ilvl w:val="0"/>
          <w:numId w:val="30"/>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risques de fraude liés à l’approvisionnement et aux contrats ont été considérés comme ceux pouvant </w:t>
      </w:r>
      <w:proofErr w:type="gramStart"/>
      <w:r>
        <w:rPr>
          <w:sz w:val="21"/>
          <w:szCs w:val="21"/>
          <w:lang w:val="fr-CA"/>
        </w:rPr>
        <w:t>avoir</w:t>
      </w:r>
      <w:proofErr w:type="gramEnd"/>
      <w:r>
        <w:rPr>
          <w:sz w:val="21"/>
          <w:szCs w:val="21"/>
          <w:lang w:val="fr-CA"/>
        </w:rPr>
        <w:t xml:space="preserve"> les conséquences les plus importantes</w:t>
      </w:r>
    </w:p>
    <w:p w14:paraId="51C200B2" w14:textId="77777777" w:rsidR="006774F4" w:rsidRPr="006774F4" w:rsidRDefault="006774F4" w:rsidP="006774F4">
      <w:pPr>
        <w:pStyle w:val="ListParagraph"/>
        <w:numPr>
          <w:ilvl w:val="0"/>
          <w:numId w:val="30"/>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conseil d’administration n’a approuvé une politique sur le risque de fraude que le 12 janvier 2022</w:t>
      </w:r>
    </w:p>
    <w:p w14:paraId="1AA18156" w14:textId="77777777" w:rsidR="006774F4" w:rsidRDefault="006774F4" w:rsidP="006774F4">
      <w:pPr>
        <w:pStyle w:val="Heading2"/>
      </w:pPr>
      <w:bookmarkStart w:id="120" w:name="__RefHeading___Toc4887_3048004937"/>
      <w:bookmarkEnd w:id="120"/>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65"/>
        <w:gridCol w:w="2575"/>
      </w:tblGrid>
      <w:tr w:rsidR="006774F4" w14:paraId="4CCA2DE3" w14:textId="77777777" w:rsidTr="00AA5586">
        <w:trPr>
          <w:cantSplit/>
          <w:tblHeader/>
        </w:trPr>
        <w:tc>
          <w:tcPr>
            <w:tcW w:w="900" w:type="dxa"/>
            <w:tcBorders>
              <w:bottom w:val="single" w:sz="4" w:space="0" w:color="000000"/>
            </w:tcBorders>
            <w:shd w:val="clear" w:color="auto" w:fill="1B3A6B"/>
          </w:tcPr>
          <w:p w14:paraId="40EB7D75"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2538DAB5" w14:textId="77777777" w:rsidR="006774F4" w:rsidRDefault="006774F4" w:rsidP="00AA5586">
            <w:pPr>
              <w:spacing w:after="0" w:line="254" w:lineRule="auto"/>
              <w:jc w:val="center"/>
            </w:pPr>
            <w:r>
              <w:rPr>
                <w:b/>
                <w:bCs/>
                <w:caps/>
                <w:color w:val="FFFFFF"/>
                <w:spacing w:val="16"/>
                <w:sz w:val="18"/>
                <w:szCs w:val="18"/>
                <w:lang w:val="fr-CA"/>
              </w:rPr>
              <w:t>Cause</w:t>
            </w:r>
          </w:p>
        </w:tc>
        <w:tc>
          <w:tcPr>
            <w:tcW w:w="1665" w:type="dxa"/>
            <w:tcBorders>
              <w:bottom w:val="single" w:sz="4" w:space="0" w:color="000000"/>
            </w:tcBorders>
            <w:shd w:val="clear" w:color="auto" w:fill="1B3A6B"/>
          </w:tcPr>
          <w:p w14:paraId="112B0622"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75" w:type="dxa"/>
            <w:tcBorders>
              <w:bottom w:val="single" w:sz="4" w:space="0" w:color="000000"/>
            </w:tcBorders>
            <w:shd w:val="clear" w:color="auto" w:fill="1B3A6B"/>
          </w:tcPr>
          <w:p w14:paraId="3A96F88E"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21C3639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4F3031"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8694C"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EC4381" w14:textId="77777777" w:rsidR="006774F4" w:rsidRDefault="006774F4" w:rsidP="00AA5586">
            <w:pPr>
              <w:spacing w:after="0" w:line="254" w:lineRule="auto"/>
              <w:jc w:val="center"/>
            </w:pPr>
            <w:r>
              <w:rPr>
                <w:b/>
                <w:bCs/>
                <w:color w:val="B85C30"/>
                <w:sz w:val="18"/>
                <w:szCs w:val="18"/>
                <w:lang w:val="fr-CA"/>
              </w:rPr>
              <w:t>36,4 %</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E693DD" w14:textId="77777777" w:rsidR="006774F4" w:rsidRDefault="006774F4" w:rsidP="00AA5586">
            <w:pPr>
              <w:spacing w:after="0" w:line="254" w:lineRule="auto"/>
              <w:jc w:val="center"/>
            </w:pPr>
            <w:r>
              <w:rPr>
                <w:sz w:val="18"/>
                <w:szCs w:val="18"/>
              </w:rPr>
              <w:t>Governance</w:t>
            </w:r>
          </w:p>
        </w:tc>
      </w:tr>
      <w:tr w:rsidR="006774F4" w14:paraId="58CE340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FD19889" w14:textId="77777777" w:rsidR="006774F4" w:rsidRDefault="006774F4" w:rsidP="00AA5586">
            <w:pPr>
              <w:spacing w:after="0" w:line="254" w:lineRule="auto"/>
              <w:jc w:val="center"/>
            </w:pPr>
            <w:r>
              <w:rPr>
                <w:b/>
                <w:bCs/>
                <w:sz w:val="18"/>
                <w:szCs w:val="18"/>
              </w:rPr>
              <w:t>C09</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6D5AE71" w14:textId="77777777" w:rsidR="006774F4" w:rsidRPr="006774F4" w:rsidRDefault="006774F4" w:rsidP="00AA5586">
            <w:pPr>
              <w:spacing w:after="0" w:line="254" w:lineRule="auto"/>
              <w:rPr>
                <w:lang w:val="fr-FR"/>
              </w:rPr>
            </w:pPr>
            <w:r>
              <w:rPr>
                <w:sz w:val="18"/>
                <w:szCs w:val="18"/>
                <w:lang w:val="fr-CA"/>
              </w:rPr>
              <w:t>Intégrité ou équité de l’approvisionnement, ou conflits d’intérêts</w:t>
            </w:r>
          </w:p>
        </w:tc>
        <w:tc>
          <w:tcPr>
            <w:tcW w:w="166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E91E364" w14:textId="77777777" w:rsidR="006774F4" w:rsidRDefault="006774F4" w:rsidP="00AA5586">
            <w:pPr>
              <w:spacing w:after="0" w:line="254" w:lineRule="auto"/>
              <w:jc w:val="center"/>
            </w:pPr>
            <w:r>
              <w:rPr>
                <w:b/>
                <w:bCs/>
                <w:color w:val="B85C30"/>
                <w:sz w:val="18"/>
                <w:szCs w:val="18"/>
                <w:lang w:val="fr-CA"/>
              </w:rPr>
              <w:t>10,0 %</w:t>
            </w:r>
          </w:p>
        </w:tc>
        <w:tc>
          <w:tcPr>
            <w:tcW w:w="257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DCD51F6" w14:textId="77777777" w:rsidR="006774F4" w:rsidRDefault="006774F4" w:rsidP="00AA5586">
            <w:pPr>
              <w:spacing w:after="0" w:line="254" w:lineRule="auto"/>
              <w:jc w:val="center"/>
            </w:pPr>
            <w:r>
              <w:rPr>
                <w:sz w:val="18"/>
                <w:szCs w:val="18"/>
              </w:rPr>
              <w:t>Contracts</w:t>
            </w:r>
          </w:p>
        </w:tc>
      </w:tr>
      <w:tr w:rsidR="006774F4" w14:paraId="34198B55"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AE5BA3" w14:textId="77777777" w:rsidR="006774F4" w:rsidRDefault="006774F4" w:rsidP="00AA5586">
            <w:pPr>
              <w:spacing w:after="0" w:line="254" w:lineRule="auto"/>
              <w:jc w:val="center"/>
            </w:pPr>
            <w:r>
              <w:rPr>
                <w:b/>
                <w:bCs/>
                <w:sz w:val="18"/>
                <w:szCs w:val="18"/>
              </w:rPr>
              <w:t>C15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FE626B" w14:textId="77777777" w:rsidR="006774F4" w:rsidRPr="006774F4" w:rsidRDefault="006774F4" w:rsidP="00AA5586">
            <w:pPr>
              <w:spacing w:after="0" w:line="254" w:lineRule="auto"/>
              <w:rPr>
                <w:lang w:val="fr-FR"/>
              </w:rPr>
            </w:pPr>
            <w:r>
              <w:rPr>
                <w:sz w:val="18"/>
                <w:szCs w:val="18"/>
                <w:lang w:val="fr-CA"/>
              </w:rPr>
              <w:t>Assurance indépendante ou surveillance absente ou tardive</w:t>
            </w:r>
          </w:p>
        </w:tc>
        <w:tc>
          <w:tcPr>
            <w:tcW w:w="1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12736C" w14:textId="77777777" w:rsidR="006774F4" w:rsidRDefault="006774F4" w:rsidP="00AA5586">
            <w:pPr>
              <w:spacing w:after="0" w:line="254" w:lineRule="auto"/>
              <w:jc w:val="center"/>
            </w:pPr>
            <w:r>
              <w:rPr>
                <w:b/>
                <w:bCs/>
                <w:color w:val="B85C30"/>
                <w:sz w:val="18"/>
                <w:szCs w:val="18"/>
                <w:lang w:val="fr-CA"/>
              </w:rPr>
              <w:t>20,9 %</w:t>
            </w:r>
          </w:p>
        </w:tc>
        <w:tc>
          <w:tcPr>
            <w:tcW w:w="25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E2B3D4" w14:textId="77777777" w:rsidR="006774F4" w:rsidRDefault="006774F4" w:rsidP="00AA5586">
            <w:pPr>
              <w:spacing w:after="0" w:line="254" w:lineRule="auto"/>
              <w:jc w:val="center"/>
            </w:pPr>
            <w:r>
              <w:rPr>
                <w:sz w:val="18"/>
                <w:szCs w:val="18"/>
              </w:rPr>
              <w:t>Governance</w:t>
            </w:r>
          </w:p>
        </w:tc>
      </w:tr>
    </w:tbl>
    <w:p w14:paraId="53030203" w14:textId="77777777" w:rsidR="006774F4" w:rsidRPr="006774F4" w:rsidRDefault="006774F4" w:rsidP="006774F4">
      <w:pPr>
        <w:pStyle w:val="Heading2"/>
        <w:rPr>
          <w:lang w:val="fr-FR"/>
        </w:rPr>
      </w:pPr>
      <w:bookmarkStart w:id="121" w:name="__RefHeading___Toc4889_3048004937"/>
      <w:bookmarkStart w:id="122" w:name="_Toc239750704"/>
      <w:bookmarkEnd w:id="121"/>
      <w:r>
        <w:rPr>
          <w:lang w:val="fr-CA"/>
        </w:rPr>
        <w:t xml:space="preserve">Ce qu’une intervention de Clarity </w:t>
      </w:r>
      <w:proofErr w:type="spellStart"/>
      <w:r>
        <w:rPr>
          <w:lang w:val="fr-CA"/>
        </w:rPr>
        <w:t>Builders</w:t>
      </w:r>
      <w:proofErr w:type="spellEnd"/>
      <w:r>
        <w:rPr>
          <w:lang w:val="fr-CA"/>
        </w:rPr>
        <w:t xml:space="preserve"> aurait permis d’aborder</w:t>
      </w:r>
      <w:bookmarkEnd w:id="122"/>
    </w:p>
    <w:p w14:paraId="35710787" w14:textId="77777777" w:rsidR="006774F4" w:rsidRPr="006774F4" w:rsidRDefault="006774F4" w:rsidP="006774F4">
      <w:pPr>
        <w:pStyle w:val="ListParagraph"/>
        <w:numPr>
          <w:ilvl w:val="0"/>
          <w:numId w:val="15"/>
        </w:numPr>
        <w:spacing w:after="100" w:line="276" w:lineRule="auto"/>
        <w:contextualSpacing w:val="0"/>
        <w:rPr>
          <w:sz w:val="21"/>
          <w:szCs w:val="21"/>
          <w:lang w:val="fr-FR"/>
        </w:rPr>
      </w:pPr>
      <w:r>
        <w:rPr>
          <w:b/>
          <w:bCs/>
          <w:color w:val="1B3A6B"/>
          <w:sz w:val="21"/>
          <w:szCs w:val="21"/>
          <w:lang w:val="fr-CA"/>
        </w:rPr>
        <w:t xml:space="preserve">5.6 </w:t>
      </w:r>
      <w:proofErr w:type="spellStart"/>
      <w:r>
        <w:rPr>
          <w:b/>
          <w:bCs/>
          <w:color w:val="1B3A6B"/>
          <w:sz w:val="21"/>
          <w:szCs w:val="21"/>
          <w:lang w:val="fr-CA"/>
        </w:rPr>
        <w:t>Supply-chain</w:t>
      </w:r>
      <w:proofErr w:type="spellEnd"/>
      <w:r>
        <w:rPr>
          <w:b/>
          <w:bCs/>
          <w:color w:val="1B3A6B"/>
          <w:sz w:val="21"/>
          <w:szCs w:val="21"/>
          <w:lang w:val="fr-CA"/>
        </w:rPr>
        <w:t xml:space="preserve"> </w:t>
      </w:r>
      <w:proofErr w:type="spellStart"/>
      <w:r>
        <w:rPr>
          <w:b/>
          <w:bCs/>
          <w:color w:val="1B3A6B"/>
          <w:sz w:val="21"/>
          <w:szCs w:val="21"/>
          <w:lang w:val="fr-CA"/>
        </w:rPr>
        <w:t>capability</w:t>
      </w:r>
      <w:proofErr w:type="spellEnd"/>
      <w:r>
        <w:rPr>
          <w:b/>
          <w:bCs/>
          <w:color w:val="1B3A6B"/>
          <w:sz w:val="21"/>
          <w:szCs w:val="21"/>
          <w:lang w:val="fr-CA"/>
        </w:rPr>
        <w:t xml:space="preserve">.  </w:t>
      </w:r>
      <w:r>
        <w:rPr>
          <w:sz w:val="21"/>
          <w:szCs w:val="21"/>
          <w:lang w:val="fr-CA"/>
        </w:rPr>
        <w:t>La fraude en matière d’approvisionnement et de contrats relève d’abord des contrôles de la chaîne d’approvisionnement, avant de devenir un sujet d’enquête. La préqualification et l’application cohérente des exigences tout au long de la chaîne permettent de prévenir ce risque dès la conception du dispositif.</w:t>
      </w:r>
    </w:p>
    <w:p w14:paraId="4C3AA919" w14:textId="77777777" w:rsidR="006774F4" w:rsidRPr="006774F4" w:rsidRDefault="006774F4" w:rsidP="006774F4">
      <w:pPr>
        <w:pStyle w:val="ListParagraph"/>
        <w:numPr>
          <w:ilvl w:val="0"/>
          <w:numId w:val="15"/>
        </w:numPr>
        <w:spacing w:after="100" w:line="276" w:lineRule="auto"/>
        <w:contextualSpacing w:val="0"/>
        <w:rPr>
          <w:sz w:val="21"/>
          <w:szCs w:val="21"/>
          <w:lang w:val="fr-FR"/>
        </w:rPr>
      </w:pPr>
      <w:r>
        <w:rPr>
          <w:b/>
          <w:bCs/>
          <w:color w:val="1B3A6B"/>
          <w:sz w:val="21"/>
          <w:szCs w:val="21"/>
          <w:lang w:val="fr-CA"/>
        </w:rPr>
        <w:t xml:space="preserve">5.8 Portfolio digital </w:t>
      </w:r>
      <w:proofErr w:type="spellStart"/>
      <w:r>
        <w:rPr>
          <w:b/>
          <w:bCs/>
          <w:color w:val="1B3A6B"/>
          <w:sz w:val="21"/>
          <w:szCs w:val="21"/>
          <w:lang w:val="fr-CA"/>
        </w:rPr>
        <w:t>delivery</w:t>
      </w:r>
      <w:proofErr w:type="spellEnd"/>
      <w:r>
        <w:rPr>
          <w:b/>
          <w:bCs/>
          <w:color w:val="1B3A6B"/>
          <w:sz w:val="21"/>
          <w:szCs w:val="21"/>
          <w:lang w:val="fr-CA"/>
        </w:rPr>
        <w:t xml:space="preserve"> </w:t>
      </w:r>
      <w:proofErr w:type="spellStart"/>
      <w:r>
        <w:rPr>
          <w:b/>
          <w:bCs/>
          <w:color w:val="1B3A6B"/>
          <w:sz w:val="21"/>
          <w:szCs w:val="21"/>
          <w:lang w:val="fr-CA"/>
        </w:rPr>
        <w:t>strategy</w:t>
      </w:r>
      <w:proofErr w:type="spellEnd"/>
      <w:r>
        <w:rPr>
          <w:b/>
          <w:bCs/>
          <w:color w:val="1B3A6B"/>
          <w:sz w:val="21"/>
          <w:szCs w:val="21"/>
          <w:lang w:val="fr-CA"/>
        </w:rPr>
        <w:t xml:space="preserve">.  </w:t>
      </w:r>
      <w:r>
        <w:rPr>
          <w:sz w:val="21"/>
          <w:szCs w:val="21"/>
          <w:lang w:val="fr-CA"/>
        </w:rPr>
        <w:t>Pour un actif de 16 milliards de dollars, la décision d’établir un programme de contrôle propre au projet se prend au niveau du portefeuille. Son absence pendant huit ans constitue un problème de gouvernance, et non un simple oubli.</w:t>
      </w:r>
    </w:p>
    <w:p w14:paraId="017602DF" w14:textId="77777777" w:rsidR="006774F4" w:rsidRPr="006774F4" w:rsidRDefault="006774F4" w:rsidP="006774F4">
      <w:pPr>
        <w:pStyle w:val="Heading2"/>
        <w:rPr>
          <w:lang w:val="fr-FR"/>
        </w:rPr>
      </w:pPr>
      <w:bookmarkStart w:id="123" w:name="__RefHeading___Toc4891_3048004937"/>
      <w:bookmarkStart w:id="124" w:name="_Toc239750705"/>
      <w:bookmarkEnd w:id="123"/>
      <w:r>
        <w:rPr>
          <w:lang w:val="fr-CA"/>
        </w:rPr>
        <w:lastRenderedPageBreak/>
        <w:t>Scénario illustratif</w:t>
      </w:r>
      <w:bookmarkEnd w:id="124"/>
    </w:p>
    <w:p w14:paraId="2758CFDF" w14:textId="77777777" w:rsidR="006774F4" w:rsidRPr="006774F4" w:rsidRDefault="006774F4" w:rsidP="006774F4">
      <w:pPr>
        <w:rPr>
          <w:lang w:val="fr-FR"/>
        </w:rPr>
      </w:pPr>
      <w:r>
        <w:rPr>
          <w:lang w:val="fr-CA"/>
        </w:rPr>
        <w:t>Il n’y a aucun coût à modéliser. Aucun incident n’a été constaté et l’audit n’a évalué ni les coûts ni l’échéancier.</w:t>
      </w:r>
    </w:p>
    <w:p w14:paraId="152B73F5" w14:textId="77777777" w:rsidR="006774F4" w:rsidRPr="006774F4" w:rsidRDefault="006774F4" w:rsidP="006774F4">
      <w:pPr>
        <w:rPr>
          <w:lang w:val="fr-FR"/>
        </w:rPr>
      </w:pPr>
      <w:r>
        <w:rPr>
          <w:lang w:val="fr-CA"/>
        </w:rPr>
        <w:t>L’intérêt illustratif de ce cas tient au contrôle plutôt qu’à une perte. L’absence ou le retard d’une assurance indépendante apparaît dans 20,9 % des entrées canadiennes du registre, et c’est le code le plus susceptible d’être présent avant une défaillance plutôt qu’après. Le lecteur qui cherche un cas où le problème a été détecté à temps devrait commencer par celui-ci.</w:t>
      </w:r>
    </w:p>
    <w:p w14:paraId="3F0C4A18" w14:textId="77777777" w:rsidR="006774F4" w:rsidRPr="006774F4" w:rsidRDefault="006774F4" w:rsidP="006774F4">
      <w:pPr>
        <w:pStyle w:val="Heading2"/>
        <w:spacing w:after="50"/>
        <w:rPr>
          <w:lang w:val="fr-FR"/>
        </w:rPr>
      </w:pPr>
      <w:bookmarkStart w:id="125" w:name="__RefHeading___Toc4893_3048004937"/>
      <w:bookmarkEnd w:id="125"/>
      <w:r>
        <w:rPr>
          <w:lang w:val="fr-CA"/>
        </w:rPr>
        <w:t>Contrefactuel</w:t>
      </w:r>
    </w:p>
    <w:p w14:paraId="558352DF"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qu’une fraude s’est produite au Site C. L’audit ne formule aucune conclusion en ce sens, et nous non plus.</w:t>
      </w:r>
    </w:p>
    <w:p w14:paraId="2A0F1692"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 xml:space="preserve">Nous affirmons qu’un projet de 16 milliards de dollars s’est poursuivi pendant huit ans sans programme de gestion du risque de fraude propre au projet, et que les risques </w:t>
      </w:r>
      <w:proofErr w:type="gramStart"/>
      <w:r>
        <w:rPr>
          <w:sz w:val="21"/>
          <w:szCs w:val="21"/>
          <w:lang w:val="fr-CA"/>
        </w:rPr>
        <w:t>ayant</w:t>
      </w:r>
      <w:proofErr w:type="gramEnd"/>
      <w:r>
        <w:rPr>
          <w:sz w:val="21"/>
          <w:szCs w:val="21"/>
          <w:lang w:val="fr-CA"/>
        </w:rPr>
        <w:t xml:space="preserve"> les conséquences potentielles </w:t>
      </w:r>
      <w:proofErr w:type="gramStart"/>
      <w:r>
        <w:rPr>
          <w:sz w:val="21"/>
          <w:szCs w:val="21"/>
          <w:lang w:val="fr-CA"/>
        </w:rPr>
        <w:t>les plus importantes relevés</w:t>
      </w:r>
      <w:proofErr w:type="gramEnd"/>
      <w:r>
        <w:rPr>
          <w:sz w:val="21"/>
          <w:szCs w:val="21"/>
          <w:lang w:val="fr-CA"/>
        </w:rPr>
        <w:t xml:space="preserve"> par le vérificateur se situent dans l’approvisionnement et l’administration des contrats — précisément le champ couvert par notre dimension </w:t>
      </w:r>
      <w:proofErr w:type="spellStart"/>
      <w:r>
        <w:rPr>
          <w:sz w:val="21"/>
          <w:szCs w:val="21"/>
          <w:lang w:val="fr-CA"/>
        </w:rPr>
        <w:t>Contracts</w:t>
      </w:r>
      <w:proofErr w:type="spellEnd"/>
      <w:r>
        <w:rPr>
          <w:sz w:val="21"/>
          <w:szCs w:val="21"/>
          <w:lang w:val="fr-CA"/>
        </w:rPr>
        <w:t>.</w:t>
      </w:r>
    </w:p>
    <w:p w14:paraId="1FE1A58D" w14:textId="77777777" w:rsidR="006774F4" w:rsidRPr="006774F4" w:rsidRDefault="006774F4" w:rsidP="006774F4">
      <w:pPr>
        <w:pStyle w:val="Heading1"/>
        <w:spacing w:before="380" w:after="170"/>
        <w:rPr>
          <w:b/>
          <w:bCs/>
          <w:color w:val="1B3A6B"/>
          <w:sz w:val="28"/>
          <w:szCs w:val="28"/>
          <w:lang w:val="fr-FR"/>
        </w:rPr>
      </w:pPr>
      <w:bookmarkStart w:id="126" w:name="__RefHeading___Toc4895_3048004937"/>
      <w:bookmarkStart w:id="127" w:name="_Toc239750706"/>
      <w:bookmarkEnd w:id="126"/>
      <w:r>
        <w:rPr>
          <w:b/>
          <w:bCs/>
          <w:color w:val="1B3A6B"/>
          <w:sz w:val="28"/>
          <w:szCs w:val="28"/>
          <w:lang w:val="fr-CA"/>
        </w:rPr>
        <w:t>Cas 10.  Centre de soins continus Willow Square</w:t>
      </w:r>
      <w:bookmarkEnd w:id="127"/>
    </w:p>
    <w:p w14:paraId="2E98C2C7"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6F85B830" w14:textId="77777777" w:rsidTr="00AA5586">
        <w:trPr>
          <w:cantSplit/>
        </w:trPr>
        <w:tc>
          <w:tcPr>
            <w:tcW w:w="2700" w:type="dxa"/>
            <w:tcBorders>
              <w:bottom w:val="single" w:sz="4" w:space="0" w:color="000000"/>
            </w:tcBorders>
            <w:shd w:val="clear" w:color="auto" w:fill="E2E8F0"/>
            <w:vAlign w:val="center"/>
          </w:tcPr>
          <w:p w14:paraId="35751ABE"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688FCBAE" w14:textId="77777777" w:rsidR="006774F4" w:rsidRDefault="006774F4" w:rsidP="00AA5586">
            <w:pPr>
              <w:spacing w:after="0" w:line="254" w:lineRule="auto"/>
              <w:jc w:val="center"/>
              <w:rPr>
                <w:b/>
                <w:bCs/>
                <w:sz w:val="19"/>
                <w:szCs w:val="19"/>
              </w:rPr>
            </w:pPr>
            <w:r>
              <w:rPr>
                <w:b/>
                <w:bCs/>
                <w:sz w:val="19"/>
                <w:szCs w:val="19"/>
              </w:rPr>
              <w:t>WEST-11</w:t>
            </w:r>
          </w:p>
        </w:tc>
      </w:tr>
      <w:tr w:rsidR="006774F4" w:rsidRPr="007B50E3" w14:paraId="733580C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7F7EB71"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D103E5D" w14:textId="77777777" w:rsidR="006774F4" w:rsidRPr="006774F4" w:rsidRDefault="006774F4" w:rsidP="00AA5586">
            <w:pPr>
              <w:spacing w:after="0" w:line="254" w:lineRule="auto"/>
              <w:rPr>
                <w:lang w:val="fr-FR"/>
              </w:rPr>
            </w:pPr>
            <w:proofErr w:type="gramStart"/>
            <w:r>
              <w:rPr>
                <w:sz w:val="19"/>
                <w:szCs w:val="19"/>
                <w:lang w:val="fr-CA"/>
              </w:rPr>
              <w:t>Alberta  ·</w:t>
            </w:r>
            <w:proofErr w:type="gramEnd"/>
            <w:r>
              <w:rPr>
                <w:sz w:val="19"/>
                <w:szCs w:val="19"/>
                <w:lang w:val="fr-CA"/>
              </w:rPr>
              <w:t xml:space="preserve">  Audit d’optimisation des ressources par le vérificateur législatif</w:t>
            </w:r>
          </w:p>
        </w:tc>
      </w:tr>
      <w:tr w:rsidR="006774F4" w:rsidRPr="006774F4" w14:paraId="3F23988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69A2A08"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34B69B8" w14:textId="77777777" w:rsidR="006774F4" w:rsidRPr="006774F4" w:rsidRDefault="006774F4" w:rsidP="00AA5586">
            <w:pPr>
              <w:spacing w:after="0" w:line="254" w:lineRule="auto"/>
              <w:rPr>
                <w:lang w:val="fr-FR"/>
              </w:rPr>
            </w:pPr>
            <w:r>
              <w:rPr>
                <w:sz w:val="19"/>
                <w:szCs w:val="19"/>
                <w:lang w:val="fr-CA"/>
              </w:rPr>
              <w:t>Bureau du vérificateur général de l’Alberta</w:t>
            </w:r>
          </w:p>
        </w:tc>
      </w:tr>
      <w:tr w:rsidR="006774F4" w:rsidRPr="006774F4" w14:paraId="4F0D4E7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39E4C7A"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AE8C653" w14:textId="77777777" w:rsidR="006774F4" w:rsidRPr="006774F4" w:rsidRDefault="006774F4" w:rsidP="00AA5586">
            <w:pPr>
              <w:spacing w:after="0" w:line="254" w:lineRule="auto"/>
              <w:rPr>
                <w:lang w:val="fr-FR"/>
              </w:rPr>
            </w:pPr>
            <w:r>
              <w:rPr>
                <w:sz w:val="19"/>
                <w:szCs w:val="19"/>
                <w:lang w:val="fr-CA"/>
              </w:rPr>
              <w:t>Centre de soins résidentiels de Fort McMurray — gestion du projet Willow Square, 2020</w:t>
            </w:r>
          </w:p>
        </w:tc>
      </w:tr>
      <w:tr w:rsidR="006774F4" w14:paraId="0F3C2A4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C883639"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0950060" w14:textId="77777777" w:rsidR="006774F4" w:rsidRDefault="006774F4" w:rsidP="00AA5586">
            <w:pPr>
              <w:spacing w:after="0" w:line="254" w:lineRule="auto"/>
            </w:pPr>
            <w:r>
              <w:rPr>
                <w:sz w:val="19"/>
                <w:szCs w:val="19"/>
                <w:lang w:val="fr-CA"/>
              </w:rPr>
              <w:t>Installation de santé</w:t>
            </w:r>
          </w:p>
        </w:tc>
      </w:tr>
      <w:tr w:rsidR="006774F4" w:rsidRPr="006774F4" w14:paraId="2549514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22EE9F8"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CD29275" w14:textId="77777777" w:rsidR="006774F4" w:rsidRPr="006774F4" w:rsidRDefault="006774F4" w:rsidP="00AA5586">
            <w:pPr>
              <w:spacing w:after="0" w:line="254" w:lineRule="auto"/>
              <w:rPr>
                <w:lang w:val="fr-FR"/>
              </w:rPr>
            </w:pPr>
            <w:r>
              <w:rPr>
                <w:sz w:val="19"/>
                <w:szCs w:val="19"/>
                <w:lang w:val="fr-CA"/>
              </w:rPr>
              <w:t>Budget approuvé de 110 millions de dollars</w:t>
            </w:r>
          </w:p>
        </w:tc>
      </w:tr>
      <w:tr w:rsidR="006774F4" w14:paraId="332C001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8C08C55"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DD44370" w14:textId="77777777" w:rsidR="006774F4" w:rsidRDefault="006774F4" w:rsidP="00AA5586">
            <w:pPr>
              <w:spacing w:after="0" w:line="254" w:lineRule="auto"/>
            </w:pPr>
            <w:r>
              <w:rPr>
                <w:sz w:val="19"/>
                <w:szCs w:val="19"/>
                <w:lang w:val="fr-CA"/>
              </w:rPr>
              <w:t>Non quantifié</w:t>
            </w:r>
          </w:p>
        </w:tc>
      </w:tr>
      <w:tr w:rsidR="006774F4" w:rsidRPr="006774F4" w14:paraId="517B251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A0D7656"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1818940" w14:textId="77777777" w:rsidR="006774F4" w:rsidRPr="006774F4" w:rsidRDefault="006774F4" w:rsidP="00AA5586">
            <w:pPr>
              <w:spacing w:after="0" w:line="254" w:lineRule="auto"/>
              <w:rPr>
                <w:lang w:val="fr-FR"/>
              </w:rPr>
            </w:pPr>
            <w:r>
              <w:rPr>
                <w:sz w:val="19"/>
                <w:szCs w:val="19"/>
                <w:lang w:val="fr-CA"/>
              </w:rPr>
              <w:t>L’achèvement de la construction a été repoussé de septembre à décembre 2019</w:t>
            </w:r>
          </w:p>
        </w:tc>
      </w:tr>
      <w:tr w:rsidR="006774F4" w14:paraId="6C21242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C4A5F62"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C3A1AC0" w14:textId="77777777" w:rsidR="006774F4" w:rsidRDefault="006774F4" w:rsidP="00AA5586">
            <w:pPr>
              <w:spacing w:after="0" w:line="254" w:lineRule="auto"/>
            </w:pPr>
            <w:r>
              <w:rPr>
                <w:sz w:val="19"/>
                <w:szCs w:val="19"/>
              </w:rPr>
              <w:t>C01, C03, C04, C06, C10, C11</w:t>
            </w:r>
          </w:p>
        </w:tc>
      </w:tr>
      <w:tr w:rsidR="006774F4" w14:paraId="0DF8FD9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E757F74"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CA76C78" w14:textId="77777777" w:rsidR="006774F4" w:rsidRDefault="006774F4" w:rsidP="00AA5586">
            <w:pPr>
              <w:spacing w:after="0" w:line="254" w:lineRule="auto"/>
              <w:rPr>
                <w:color w:val="auto"/>
                <w:sz w:val="19"/>
                <w:szCs w:val="19"/>
              </w:rPr>
            </w:pPr>
            <w:r>
              <w:rPr>
                <w:color w:val="auto"/>
                <w:sz w:val="19"/>
                <w:szCs w:val="19"/>
              </w:rPr>
              <w:t>Governance, Process</w:t>
            </w:r>
          </w:p>
        </w:tc>
      </w:tr>
    </w:tbl>
    <w:p w14:paraId="2424E345" w14:textId="77777777" w:rsidR="006774F4" w:rsidRDefault="006774F4" w:rsidP="006774F4">
      <w:pPr>
        <w:pStyle w:val="Heading2"/>
      </w:pPr>
      <w:bookmarkStart w:id="128" w:name="__RefHeading___Toc4897_3048004937"/>
      <w:bookmarkStart w:id="129" w:name="_Toc239750707"/>
      <w:bookmarkEnd w:id="128"/>
      <w:r>
        <w:rPr>
          <w:lang w:val="fr-CA"/>
        </w:rPr>
        <w:lastRenderedPageBreak/>
        <w:t>Ce qui s’est passé</w:t>
      </w:r>
      <w:bookmarkEnd w:id="129"/>
    </w:p>
    <w:p w14:paraId="362F9300" w14:textId="77777777" w:rsidR="006774F4" w:rsidRPr="006774F4" w:rsidRDefault="006774F4" w:rsidP="006774F4">
      <w:pPr>
        <w:rPr>
          <w:lang w:val="fr-FR"/>
        </w:rPr>
      </w:pPr>
      <w:r>
        <w:rPr>
          <w:lang w:val="fr-CA"/>
        </w:rPr>
        <w:t>Willow Square est un petit projet selon les standards de ce livre, mais il cumule 6 des 15 codes de cause. C’est précisément cette combinaison qui justifie sa présence ici : les défaillances n’ont rien d’exceptionnel; elles sont courantes et se produisent ensemble.</w:t>
      </w:r>
    </w:p>
    <w:p w14:paraId="5A274509" w14:textId="77777777" w:rsidR="006774F4" w:rsidRPr="006774F4" w:rsidRDefault="006774F4" w:rsidP="006774F4">
      <w:pPr>
        <w:rPr>
          <w:lang w:val="fr-FR"/>
        </w:rPr>
      </w:pPr>
      <w:r>
        <w:rPr>
          <w:lang w:val="fr-CA"/>
        </w:rPr>
        <w:t>Alberta Infrastructure avait entrepris d’importants travaux de planification et de conception avant de disposer d’une charte de projet approuvée ou d’un plan de gestion de projet finalisé. Les principales parties prenantes n’ont jamais approuvé officiellement l’énoncé des exigences ni accepté les dessins de conception, contrairement à ce que prévoyait la charte, et rien ne démontrait qu’une personne à Alberta Health ou Alberta Health Services avait approuvé l’énoncé des exigences.</w:t>
      </w:r>
    </w:p>
    <w:p w14:paraId="2F904289" w14:textId="77777777" w:rsidR="006774F4" w:rsidRPr="006774F4" w:rsidRDefault="006774F4" w:rsidP="006774F4">
      <w:pPr>
        <w:rPr>
          <w:lang w:val="fr-FR"/>
        </w:rPr>
      </w:pPr>
      <w:r>
        <w:rPr>
          <w:lang w:val="fr-CA"/>
        </w:rPr>
        <w:t>L’échéancier a été jugé ambitieux et ne prévoyait aucun jalon pour la conception détaillée. Un registre des risques a été créé, puis laissé sans mise à jour pendant six mois. Le Ministère n’a pas respecté les exigences de son propre contrat de conception-construction en ce qui concerne l’approbation des dessins et le traitement en temps opportun des ordres de modification, et ne disposait pas de mesures adéquates pour évaluer la performance du projet.</w:t>
      </w:r>
    </w:p>
    <w:p w14:paraId="4C555A8F" w14:textId="77777777" w:rsidR="006774F4" w:rsidRDefault="006774F4" w:rsidP="006774F4">
      <w:pPr>
        <w:pStyle w:val="Heading2"/>
      </w:pPr>
      <w:bookmarkStart w:id="130" w:name="__RefHeading___Toc4899_3048004937"/>
      <w:bookmarkStart w:id="131" w:name="_Toc239750708"/>
      <w:bookmarkEnd w:id="130"/>
      <w:r>
        <w:rPr>
          <w:lang w:val="fr-CA"/>
        </w:rPr>
        <w:t>Constats du rapport</w:t>
      </w:r>
      <w:bookmarkEnd w:id="131"/>
    </w:p>
    <w:p w14:paraId="01800329"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r>
        <w:rPr>
          <w:sz w:val="21"/>
          <w:szCs w:val="21"/>
          <w:lang w:val="fr-CA"/>
        </w:rPr>
        <w:t>Alberta Infrastructure avait réalisé d’importants travaux de planification et de conception avant de disposer d’une charte de projet approuvée ou d’un plan de gestion de projet finalisé</w:t>
      </w:r>
    </w:p>
    <w:p w14:paraId="2705DBE4"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proofErr w:type="gramStart"/>
      <w:r>
        <w:rPr>
          <w:sz w:val="21"/>
          <w:szCs w:val="21"/>
          <w:lang w:val="fr-CA"/>
        </w:rPr>
        <w:t>rien</w:t>
      </w:r>
      <w:proofErr w:type="gramEnd"/>
      <w:r>
        <w:rPr>
          <w:sz w:val="21"/>
          <w:szCs w:val="21"/>
          <w:lang w:val="fr-CA"/>
        </w:rPr>
        <w:t xml:space="preserve"> ne démontrait qu’une personne à Alberta Health ou à AHS avait officiellement approuvé l’énoncé des exigences</w:t>
      </w:r>
    </w:p>
    <w:p w14:paraId="26D182D0"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proofErr w:type="gramStart"/>
      <w:r>
        <w:rPr>
          <w:sz w:val="21"/>
          <w:szCs w:val="21"/>
          <w:lang w:val="fr-CA"/>
        </w:rPr>
        <w:t>l’échéancier</w:t>
      </w:r>
      <w:proofErr w:type="gramEnd"/>
      <w:r>
        <w:rPr>
          <w:sz w:val="21"/>
          <w:szCs w:val="21"/>
          <w:lang w:val="fr-CA"/>
        </w:rPr>
        <w:t xml:space="preserve"> d’Alberta Infrastructure était ambitieux et le plan ne comportait aucun jalon pour la phase de conception détaillée</w:t>
      </w:r>
    </w:p>
    <w:p w14:paraId="4E942164"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r>
        <w:rPr>
          <w:sz w:val="21"/>
          <w:szCs w:val="21"/>
          <w:lang w:val="fr-CA"/>
        </w:rPr>
        <w:t>Alberta Infrastructure ne disposait pas d’un système formalisé de gestion des risques pour Willow Square et n’avait toujours pas mis à jour le registre des risques six mois après sa création</w:t>
      </w:r>
    </w:p>
    <w:p w14:paraId="23D1E7E3"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r>
        <w:rPr>
          <w:sz w:val="21"/>
          <w:szCs w:val="21"/>
          <w:lang w:val="fr-CA"/>
        </w:rPr>
        <w:t>Alberta Infrastructure n’a pas respecté les exigences du contrat de conception-construction concernant l’approbation des dessins de conception ou l’approbation en temps opportun des ordres de modification</w:t>
      </w:r>
    </w:p>
    <w:p w14:paraId="46B9B67F" w14:textId="77777777" w:rsidR="006774F4" w:rsidRPr="006774F4" w:rsidRDefault="006774F4" w:rsidP="006774F4">
      <w:pPr>
        <w:pStyle w:val="ListParagraph"/>
        <w:numPr>
          <w:ilvl w:val="0"/>
          <w:numId w:val="20"/>
        </w:numPr>
        <w:spacing w:after="100" w:line="276" w:lineRule="auto"/>
        <w:contextualSpacing w:val="0"/>
        <w:rPr>
          <w:sz w:val="21"/>
          <w:szCs w:val="21"/>
          <w:lang w:val="fr-FR"/>
        </w:rPr>
      </w:pPr>
      <w:r>
        <w:rPr>
          <w:sz w:val="21"/>
          <w:szCs w:val="21"/>
          <w:lang w:val="fr-CA"/>
        </w:rPr>
        <w:t>Alberta Infrastructure ne disposait pas de mesures adéquates pour évaluer la performance du projet</w:t>
      </w:r>
    </w:p>
    <w:p w14:paraId="5D9B0778" w14:textId="77777777" w:rsidR="006774F4" w:rsidRDefault="006774F4" w:rsidP="006774F4">
      <w:pPr>
        <w:pStyle w:val="Heading2"/>
      </w:pPr>
      <w:bookmarkStart w:id="132" w:name="__RefHeading___Toc4901_3048004937"/>
      <w:bookmarkEnd w:id="132"/>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96"/>
        <w:gridCol w:w="2544"/>
      </w:tblGrid>
      <w:tr w:rsidR="006774F4" w14:paraId="17B4AA19" w14:textId="77777777" w:rsidTr="00AA5586">
        <w:trPr>
          <w:cantSplit/>
          <w:tblHeader/>
        </w:trPr>
        <w:tc>
          <w:tcPr>
            <w:tcW w:w="900" w:type="dxa"/>
            <w:tcBorders>
              <w:bottom w:val="single" w:sz="4" w:space="0" w:color="000000"/>
            </w:tcBorders>
            <w:shd w:val="clear" w:color="auto" w:fill="1B3A6B"/>
          </w:tcPr>
          <w:p w14:paraId="1F7A5E90"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348A773B" w14:textId="77777777" w:rsidR="006774F4" w:rsidRDefault="006774F4" w:rsidP="00AA5586">
            <w:pPr>
              <w:spacing w:after="0" w:line="254" w:lineRule="auto"/>
              <w:jc w:val="center"/>
            </w:pPr>
            <w:r>
              <w:rPr>
                <w:b/>
                <w:bCs/>
                <w:caps/>
                <w:color w:val="FFFFFF"/>
                <w:spacing w:val="16"/>
                <w:sz w:val="18"/>
                <w:szCs w:val="18"/>
                <w:lang w:val="fr-CA"/>
              </w:rPr>
              <w:t>Cause</w:t>
            </w:r>
          </w:p>
        </w:tc>
        <w:tc>
          <w:tcPr>
            <w:tcW w:w="1696" w:type="dxa"/>
            <w:tcBorders>
              <w:bottom w:val="single" w:sz="4" w:space="0" w:color="000000"/>
            </w:tcBorders>
            <w:shd w:val="clear" w:color="auto" w:fill="1B3A6B"/>
          </w:tcPr>
          <w:p w14:paraId="3F0CDFC3"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44" w:type="dxa"/>
            <w:tcBorders>
              <w:bottom w:val="single" w:sz="4" w:space="0" w:color="000000"/>
            </w:tcBorders>
            <w:shd w:val="clear" w:color="auto" w:fill="1B3A6B"/>
          </w:tcPr>
          <w:p w14:paraId="6BF100B2"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71F109B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EE3742" w14:textId="77777777" w:rsidR="006774F4" w:rsidRDefault="006774F4" w:rsidP="00AA5586">
            <w:pPr>
              <w:spacing w:after="0" w:line="254" w:lineRule="auto"/>
              <w:jc w:val="center"/>
            </w:pPr>
            <w:r>
              <w:rPr>
                <w:b/>
                <w:bCs/>
                <w:sz w:val="18"/>
                <w:szCs w:val="18"/>
              </w:rPr>
              <w:t>C01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CA9EF7"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414837" w14:textId="77777777" w:rsidR="006774F4" w:rsidRDefault="006774F4" w:rsidP="00AA5586">
            <w:pPr>
              <w:spacing w:after="0" w:line="254" w:lineRule="auto"/>
              <w:jc w:val="center"/>
            </w:pPr>
            <w:r>
              <w:rPr>
                <w:b/>
                <w:bCs/>
                <w:color w:val="B85C30"/>
                <w:sz w:val="18"/>
                <w:szCs w:val="18"/>
                <w:lang w:val="fr-CA"/>
              </w:rPr>
              <w:t>29,1 %</w:t>
            </w:r>
          </w:p>
        </w:tc>
        <w:tc>
          <w:tcPr>
            <w:tcW w:w="25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7C41B2" w14:textId="77777777" w:rsidR="006774F4" w:rsidRDefault="006774F4" w:rsidP="00AA5586">
            <w:pPr>
              <w:spacing w:after="0" w:line="254" w:lineRule="auto"/>
              <w:jc w:val="center"/>
            </w:pPr>
            <w:r>
              <w:rPr>
                <w:sz w:val="18"/>
                <w:szCs w:val="18"/>
              </w:rPr>
              <w:t>Process</w:t>
            </w:r>
          </w:p>
        </w:tc>
      </w:tr>
      <w:tr w:rsidR="006774F4" w14:paraId="0F894806"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70F0A06" w14:textId="77777777" w:rsidR="006774F4" w:rsidRDefault="006774F4" w:rsidP="00AA5586">
            <w:pPr>
              <w:spacing w:after="0" w:line="254" w:lineRule="auto"/>
              <w:jc w:val="center"/>
            </w:pPr>
            <w:r>
              <w:rPr>
                <w:b/>
                <w:bCs/>
                <w:sz w:val="18"/>
                <w:szCs w:val="18"/>
              </w:rPr>
              <w:lastRenderedPageBreak/>
              <w:t>C03</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7005FEC" w14:textId="77777777" w:rsidR="006774F4" w:rsidRPr="006774F4" w:rsidRDefault="006774F4" w:rsidP="00AA5586">
            <w:pPr>
              <w:spacing w:after="0" w:line="254" w:lineRule="auto"/>
              <w:rPr>
                <w:lang w:val="fr-FR"/>
              </w:rPr>
            </w:pPr>
            <w:r>
              <w:rPr>
                <w:sz w:val="18"/>
                <w:szCs w:val="18"/>
                <w:lang w:val="fr-CA"/>
              </w:rPr>
              <w:t>Échéancier trop optimiste ou référence de base irréaliste</w:t>
            </w:r>
          </w:p>
        </w:tc>
        <w:tc>
          <w:tcPr>
            <w:tcW w:w="1696"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6CAF1C" w14:textId="77777777" w:rsidR="006774F4" w:rsidRDefault="006774F4" w:rsidP="00AA5586">
            <w:pPr>
              <w:spacing w:after="0" w:line="254" w:lineRule="auto"/>
              <w:jc w:val="center"/>
            </w:pPr>
            <w:r>
              <w:rPr>
                <w:b/>
                <w:bCs/>
                <w:color w:val="B85C30"/>
                <w:sz w:val="18"/>
                <w:szCs w:val="18"/>
                <w:lang w:val="fr-CA"/>
              </w:rPr>
              <w:t>9,1 %</w:t>
            </w:r>
          </w:p>
        </w:tc>
        <w:tc>
          <w:tcPr>
            <w:tcW w:w="254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8869EDC" w14:textId="77777777" w:rsidR="006774F4" w:rsidRDefault="006774F4" w:rsidP="00AA5586">
            <w:pPr>
              <w:spacing w:after="0" w:line="254" w:lineRule="auto"/>
              <w:jc w:val="center"/>
            </w:pPr>
            <w:r>
              <w:rPr>
                <w:sz w:val="18"/>
                <w:szCs w:val="18"/>
              </w:rPr>
              <w:t>Process</w:t>
            </w:r>
          </w:p>
        </w:tc>
      </w:tr>
      <w:tr w:rsidR="006774F4" w14:paraId="4C907F3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CC973"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E90E41"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D4A669" w14:textId="77777777" w:rsidR="006774F4" w:rsidRDefault="006774F4" w:rsidP="00AA5586">
            <w:pPr>
              <w:spacing w:after="0" w:line="254" w:lineRule="auto"/>
              <w:jc w:val="center"/>
            </w:pPr>
            <w:r>
              <w:rPr>
                <w:b/>
                <w:bCs/>
                <w:color w:val="B85C30"/>
                <w:sz w:val="18"/>
                <w:szCs w:val="18"/>
                <w:lang w:val="fr-CA"/>
              </w:rPr>
              <w:t>36,4 %</w:t>
            </w:r>
          </w:p>
        </w:tc>
        <w:tc>
          <w:tcPr>
            <w:tcW w:w="25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00D8F8" w14:textId="77777777" w:rsidR="006774F4" w:rsidRDefault="006774F4" w:rsidP="00AA5586">
            <w:pPr>
              <w:spacing w:after="0" w:line="254" w:lineRule="auto"/>
              <w:jc w:val="center"/>
            </w:pPr>
            <w:r>
              <w:rPr>
                <w:sz w:val="18"/>
                <w:szCs w:val="18"/>
              </w:rPr>
              <w:t>Governance</w:t>
            </w:r>
          </w:p>
        </w:tc>
      </w:tr>
      <w:tr w:rsidR="006774F4" w14:paraId="3727B527"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E6DCBCE"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53081B7"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696"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0ED2831" w14:textId="77777777" w:rsidR="006774F4" w:rsidRDefault="006774F4" w:rsidP="00AA5586">
            <w:pPr>
              <w:spacing w:after="0" w:line="254" w:lineRule="auto"/>
              <w:jc w:val="center"/>
            </w:pPr>
            <w:r>
              <w:rPr>
                <w:b/>
                <w:bCs/>
                <w:color w:val="B85C30"/>
                <w:sz w:val="18"/>
                <w:szCs w:val="18"/>
                <w:lang w:val="fr-CA"/>
              </w:rPr>
              <w:t>34,5 %</w:t>
            </w:r>
          </w:p>
        </w:tc>
        <w:tc>
          <w:tcPr>
            <w:tcW w:w="254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2BAA0E" w14:textId="77777777" w:rsidR="006774F4" w:rsidRDefault="006774F4" w:rsidP="00AA5586">
            <w:pPr>
              <w:spacing w:after="0" w:line="254" w:lineRule="auto"/>
              <w:jc w:val="center"/>
            </w:pPr>
            <w:r>
              <w:rPr>
                <w:sz w:val="18"/>
                <w:szCs w:val="18"/>
              </w:rPr>
              <w:t>Governance</w:t>
            </w:r>
          </w:p>
        </w:tc>
      </w:tr>
      <w:tr w:rsidR="006774F4" w14:paraId="1545492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5D5963" w14:textId="77777777" w:rsidR="006774F4" w:rsidRDefault="006774F4" w:rsidP="00AA5586">
            <w:pPr>
              <w:spacing w:after="0" w:line="254" w:lineRule="auto"/>
              <w:jc w:val="center"/>
            </w:pPr>
            <w:r>
              <w:rPr>
                <w:b/>
                <w:bCs/>
                <w:sz w:val="18"/>
                <w:szCs w:val="18"/>
              </w:rPr>
              <w:t>C10</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3AD1A0" w14:textId="77777777" w:rsidR="006774F4" w:rsidRPr="006774F4" w:rsidRDefault="006774F4" w:rsidP="00AA5586">
            <w:pPr>
              <w:spacing w:after="0" w:line="254" w:lineRule="auto"/>
              <w:rPr>
                <w:lang w:val="fr-FR"/>
              </w:rPr>
            </w:pPr>
            <w:r>
              <w:rPr>
                <w:sz w:val="18"/>
                <w:szCs w:val="18"/>
                <w:lang w:val="fr-CA"/>
              </w:rPr>
              <w:t>Contrôle insuffisant des modifications et des réclamations</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88DCD7" w14:textId="77777777" w:rsidR="006774F4" w:rsidRDefault="006774F4" w:rsidP="00AA5586">
            <w:pPr>
              <w:spacing w:after="0" w:line="254" w:lineRule="auto"/>
              <w:jc w:val="center"/>
            </w:pPr>
            <w:r>
              <w:rPr>
                <w:b/>
                <w:bCs/>
                <w:color w:val="B85C30"/>
                <w:sz w:val="18"/>
                <w:szCs w:val="18"/>
                <w:lang w:val="fr-CA"/>
              </w:rPr>
              <w:t>10,0 %</w:t>
            </w:r>
          </w:p>
        </w:tc>
        <w:tc>
          <w:tcPr>
            <w:tcW w:w="25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8CE54C" w14:textId="77777777" w:rsidR="006774F4" w:rsidRDefault="006774F4" w:rsidP="00AA5586">
            <w:pPr>
              <w:spacing w:after="0" w:line="254" w:lineRule="auto"/>
              <w:jc w:val="center"/>
            </w:pPr>
            <w:r>
              <w:rPr>
                <w:sz w:val="18"/>
                <w:szCs w:val="18"/>
              </w:rPr>
              <w:t>Process</w:t>
            </w:r>
          </w:p>
        </w:tc>
      </w:tr>
      <w:tr w:rsidR="006774F4" w14:paraId="343F0920"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E1383DB" w14:textId="77777777" w:rsidR="006774F4" w:rsidRDefault="006774F4" w:rsidP="00AA5586">
            <w:pPr>
              <w:spacing w:after="0" w:line="254" w:lineRule="auto"/>
              <w:jc w:val="center"/>
            </w:pPr>
            <w:r>
              <w:rPr>
                <w:b/>
                <w:bCs/>
                <w:sz w:val="18"/>
                <w:szCs w:val="18"/>
              </w:rPr>
              <w:t>C11</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DB63A1E" w14:textId="77777777" w:rsidR="006774F4" w:rsidRPr="006774F4" w:rsidRDefault="006774F4" w:rsidP="00AA5586">
            <w:pPr>
              <w:spacing w:after="0" w:line="254" w:lineRule="auto"/>
              <w:rPr>
                <w:lang w:val="fr-FR"/>
              </w:rPr>
            </w:pPr>
            <w:r>
              <w:rPr>
                <w:sz w:val="18"/>
                <w:szCs w:val="18"/>
                <w:lang w:val="fr-CA"/>
              </w:rPr>
              <w:t>Bénéfices ou performance non mesurés</w:t>
            </w:r>
          </w:p>
        </w:tc>
        <w:tc>
          <w:tcPr>
            <w:tcW w:w="1696"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2E07305" w14:textId="77777777" w:rsidR="006774F4" w:rsidRDefault="006774F4" w:rsidP="00AA5586">
            <w:pPr>
              <w:spacing w:after="0" w:line="254" w:lineRule="auto"/>
              <w:jc w:val="center"/>
            </w:pPr>
            <w:r>
              <w:rPr>
                <w:b/>
                <w:bCs/>
                <w:color w:val="B85C30"/>
                <w:sz w:val="18"/>
                <w:szCs w:val="18"/>
                <w:lang w:val="fr-CA"/>
              </w:rPr>
              <w:t>20,9 %</w:t>
            </w:r>
          </w:p>
        </w:tc>
        <w:tc>
          <w:tcPr>
            <w:tcW w:w="2544"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7A94813" w14:textId="77777777" w:rsidR="006774F4" w:rsidRDefault="006774F4" w:rsidP="00AA5586">
            <w:pPr>
              <w:spacing w:after="0" w:line="254" w:lineRule="auto"/>
              <w:jc w:val="center"/>
            </w:pPr>
            <w:r>
              <w:rPr>
                <w:sz w:val="18"/>
                <w:szCs w:val="18"/>
              </w:rPr>
              <w:t>Governance</w:t>
            </w:r>
          </w:p>
        </w:tc>
      </w:tr>
    </w:tbl>
    <w:p w14:paraId="714DE3B8" w14:textId="77777777" w:rsidR="006774F4" w:rsidRPr="006774F4" w:rsidRDefault="006774F4" w:rsidP="006774F4">
      <w:pPr>
        <w:pStyle w:val="Heading2"/>
        <w:rPr>
          <w:lang w:val="fr-FR"/>
        </w:rPr>
      </w:pPr>
      <w:bookmarkStart w:id="133" w:name="__RefHeading___Toc4903_3048004937"/>
      <w:bookmarkStart w:id="134" w:name="_Toc239750710"/>
      <w:bookmarkEnd w:id="133"/>
      <w:r>
        <w:rPr>
          <w:lang w:val="fr-CA"/>
        </w:rPr>
        <w:t xml:space="preserve">Ce qu’une intervention de Clarity </w:t>
      </w:r>
      <w:proofErr w:type="spellStart"/>
      <w:r>
        <w:rPr>
          <w:lang w:val="fr-CA"/>
        </w:rPr>
        <w:t>Builders</w:t>
      </w:r>
      <w:proofErr w:type="spellEnd"/>
      <w:r>
        <w:rPr>
          <w:lang w:val="fr-CA"/>
        </w:rPr>
        <w:t xml:space="preserve"> aurait permis d’aborder</w:t>
      </w:r>
      <w:bookmarkEnd w:id="134"/>
    </w:p>
    <w:p w14:paraId="5425F48A" w14:textId="77777777" w:rsidR="006774F4" w:rsidRDefault="006774F4" w:rsidP="006774F4">
      <w:pPr>
        <w:pStyle w:val="ListParagraph"/>
        <w:numPr>
          <w:ilvl w:val="0"/>
          <w:numId w:val="35"/>
        </w:numPr>
        <w:spacing w:after="100" w:line="276" w:lineRule="auto"/>
        <w:contextualSpacing w:val="0"/>
        <w:rPr>
          <w:sz w:val="21"/>
          <w:szCs w:val="21"/>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Un énoncé des exigences que personne n’a approuvé illustre parfaitement le problème que ce service vise à résoudre. Le document existait; l’acceptation, elle, n’existait pas.</w:t>
      </w:r>
    </w:p>
    <w:p w14:paraId="4F234526" w14:textId="77777777" w:rsidR="006774F4" w:rsidRPr="006774F4" w:rsidRDefault="006774F4" w:rsidP="006774F4">
      <w:pPr>
        <w:pStyle w:val="ListParagraph"/>
        <w:numPr>
          <w:ilvl w:val="0"/>
          <w:numId w:val="35"/>
        </w:numPr>
        <w:spacing w:after="100" w:line="276" w:lineRule="auto"/>
        <w:contextualSpacing w:val="0"/>
        <w:rPr>
          <w:sz w:val="21"/>
          <w:szCs w:val="21"/>
          <w:lang w:val="fr-FR"/>
        </w:rPr>
      </w:pPr>
      <w:r w:rsidRPr="006774F4">
        <w:rPr>
          <w:b/>
          <w:bCs/>
          <w:color w:val="1B3A6B"/>
          <w:sz w:val="21"/>
          <w:szCs w:val="21"/>
          <w:lang w:val="en-US"/>
        </w:rPr>
        <w:t xml:space="preserve">5.11 Coordination protocol and issue discipline.  </w:t>
      </w:r>
      <w:r>
        <w:rPr>
          <w:sz w:val="21"/>
          <w:szCs w:val="21"/>
          <w:lang w:val="fr-CA"/>
        </w:rPr>
        <w:t>Un registre des risques qui n’est pas mis à jour pendant six mois révèle une défaillance du protocole. Le registre n’est pas le contrôle en soi; c’est la cadence de suivi qui lui donne sa valeur.</w:t>
      </w:r>
    </w:p>
    <w:p w14:paraId="172095AE" w14:textId="77777777" w:rsidR="006774F4" w:rsidRPr="006774F4" w:rsidRDefault="006774F4" w:rsidP="006774F4">
      <w:pPr>
        <w:pStyle w:val="ListParagraph"/>
        <w:numPr>
          <w:ilvl w:val="0"/>
          <w:numId w:val="35"/>
        </w:numPr>
        <w:spacing w:after="100" w:line="276" w:lineRule="auto"/>
        <w:contextualSpacing w:val="0"/>
        <w:rPr>
          <w:sz w:val="21"/>
          <w:szCs w:val="21"/>
          <w:lang w:val="fr-FR"/>
        </w:rPr>
      </w:pPr>
      <w:r>
        <w:rPr>
          <w:b/>
          <w:bCs/>
          <w:color w:val="1B3A6B"/>
          <w:sz w:val="21"/>
          <w:szCs w:val="21"/>
          <w:lang w:val="fr-CA"/>
        </w:rPr>
        <w:t xml:space="preserve">5.4 Change and </w:t>
      </w:r>
      <w:proofErr w:type="gramStart"/>
      <w:r>
        <w:rPr>
          <w:b/>
          <w:bCs/>
          <w:color w:val="1B3A6B"/>
          <w:sz w:val="21"/>
          <w:szCs w:val="21"/>
          <w:lang w:val="fr-CA"/>
        </w:rPr>
        <w:t>adoption plan</w:t>
      </w:r>
      <w:proofErr w:type="gramEnd"/>
      <w:r>
        <w:rPr>
          <w:b/>
          <w:bCs/>
          <w:color w:val="1B3A6B"/>
          <w:sz w:val="21"/>
          <w:szCs w:val="21"/>
          <w:lang w:val="fr-CA"/>
        </w:rPr>
        <w:t xml:space="preserve">.  </w:t>
      </w:r>
      <w:r>
        <w:rPr>
          <w:sz w:val="21"/>
          <w:szCs w:val="21"/>
          <w:lang w:val="fr-CA"/>
        </w:rPr>
        <w:t>Six codes sur un projet de 110 millions de dollars sont le signe d’un enjeu de capacité. Dans ce cas, la réponse passe par un plan d’adoption plutôt que par la simple correction d’un document.</w:t>
      </w:r>
    </w:p>
    <w:p w14:paraId="581AE3A4" w14:textId="77777777" w:rsidR="006774F4" w:rsidRPr="006774F4" w:rsidRDefault="006774F4" w:rsidP="006774F4">
      <w:pPr>
        <w:pStyle w:val="Heading2"/>
        <w:rPr>
          <w:lang w:val="fr-FR"/>
        </w:rPr>
      </w:pPr>
      <w:bookmarkStart w:id="135" w:name="__RefHeading___Toc4905_3048004937"/>
      <w:bookmarkStart w:id="136" w:name="_Toc239750711"/>
      <w:bookmarkEnd w:id="135"/>
      <w:r>
        <w:rPr>
          <w:lang w:val="fr-CA"/>
        </w:rPr>
        <w:t>Scénario illustratif</w:t>
      </w:r>
      <w:bookmarkEnd w:id="136"/>
    </w:p>
    <w:p w14:paraId="1A9BE398" w14:textId="77777777" w:rsidR="006774F4" w:rsidRPr="006774F4" w:rsidRDefault="006774F4" w:rsidP="006774F4">
      <w:pPr>
        <w:rPr>
          <w:lang w:val="fr-FR"/>
        </w:rPr>
      </w:pPr>
      <w:r>
        <w:rPr>
          <w:lang w:val="fr-CA"/>
        </w:rPr>
        <w:t>Aucun chiffre de dépassement n’est disponible. L’audit ne quantifie pas les coûts et l’échéancier a glissé de trois mois.</w:t>
      </w:r>
    </w:p>
    <w:p w14:paraId="69770FF7" w14:textId="77777777" w:rsidR="006774F4" w:rsidRPr="006774F4" w:rsidRDefault="006774F4" w:rsidP="006774F4">
      <w:pPr>
        <w:spacing w:after="90"/>
        <w:rPr>
          <w:lang w:val="fr-FR"/>
        </w:rPr>
      </w:pPr>
      <w:r>
        <w:rPr>
          <w:lang w:val="fr-CA"/>
        </w:rPr>
        <w:t xml:space="preserve">Le scénario illustratif porte sur l’accumulation des problèmes. Le projet présente une portée non stabilisée, un échéancier trop optimiste, des pouvoirs décisionnels mal définis, une trace des décisions incomplète, un contrôle insuffisant des modifications et une performance non mesurée. Chacun de ces problèmes est courant pris isolément. Ensemble, sur un projet de cette taille, ils décrivent un propriétaire qui gère un programme d’immobilisations sans discipline structurée de gestion de l’information — exactement le type de situation que le </w:t>
      </w:r>
      <w:proofErr w:type="spellStart"/>
      <w:r>
        <w:rPr>
          <w:lang w:val="fr-CA"/>
        </w:rPr>
        <w:t>Grounded</w:t>
      </w:r>
      <w:proofErr w:type="spellEnd"/>
      <w:r>
        <w:rPr>
          <w:lang w:val="fr-CA"/>
        </w:rPr>
        <w:t xml:space="preserve"> Diagnostic est conçu pour détecter avant le projet suivant.</w:t>
      </w:r>
    </w:p>
    <w:p w14:paraId="17AC5717" w14:textId="77777777" w:rsidR="006774F4" w:rsidRPr="006774F4" w:rsidRDefault="006774F4" w:rsidP="006774F4">
      <w:pPr>
        <w:pStyle w:val="Heading2"/>
        <w:spacing w:after="50"/>
        <w:rPr>
          <w:lang w:val="fr-FR"/>
        </w:rPr>
      </w:pPr>
      <w:bookmarkStart w:id="137" w:name="__RefHeading___Toc4907_3048004937"/>
      <w:bookmarkEnd w:id="137"/>
      <w:r>
        <w:rPr>
          <w:lang w:val="fr-CA"/>
        </w:rPr>
        <w:t>Contrefactuel</w:t>
      </w:r>
    </w:p>
    <w:p w14:paraId="4995D776"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Willow Square a été un échec. Le projet a été achevé et l’installation est en service.</w:t>
      </w:r>
    </w:p>
    <w:p w14:paraId="147795FF"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 projet mené à terme malgré 6 des 15 modes de défaillance documentés ne démontre pas que ces défaillances sont sans conséquence. Il montre plutôt que ce projet était suffisamment petit pour les absorber.</w:t>
      </w:r>
    </w:p>
    <w:p w14:paraId="4AC22018" w14:textId="77777777" w:rsidR="006774F4" w:rsidRPr="006774F4" w:rsidRDefault="006774F4" w:rsidP="006774F4">
      <w:pPr>
        <w:pStyle w:val="Heading1"/>
        <w:spacing w:before="210" w:after="150" w:line="290" w:lineRule="auto"/>
        <w:rPr>
          <w:b/>
          <w:bCs/>
          <w:color w:val="1B3A6B"/>
          <w:sz w:val="28"/>
          <w:szCs w:val="28"/>
          <w:lang w:val="fr-FR"/>
        </w:rPr>
      </w:pPr>
      <w:bookmarkStart w:id="138" w:name="__RefHeading___Toc4909_3048004937"/>
      <w:bookmarkStart w:id="139" w:name="_Toc239750712"/>
      <w:bookmarkEnd w:id="138"/>
      <w:r>
        <w:rPr>
          <w:b/>
          <w:bCs/>
          <w:color w:val="1B3A6B"/>
          <w:sz w:val="28"/>
          <w:szCs w:val="28"/>
          <w:lang w:val="fr-CA"/>
        </w:rPr>
        <w:lastRenderedPageBreak/>
        <w:t>Cas 11.  Ponts et ponceaux de l’Ontario</w:t>
      </w:r>
      <w:bookmarkEnd w:id="139"/>
    </w:p>
    <w:p w14:paraId="14560500"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25439BB2" w14:textId="77777777" w:rsidTr="00AA5586">
        <w:trPr>
          <w:cantSplit/>
        </w:trPr>
        <w:tc>
          <w:tcPr>
            <w:tcW w:w="2700" w:type="dxa"/>
            <w:tcBorders>
              <w:bottom w:val="single" w:sz="4" w:space="0" w:color="000000"/>
            </w:tcBorders>
            <w:shd w:val="clear" w:color="auto" w:fill="E2E8F0"/>
            <w:vAlign w:val="center"/>
          </w:tcPr>
          <w:p w14:paraId="430A8107"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0504D3F2" w14:textId="77777777" w:rsidR="006774F4" w:rsidRDefault="006774F4" w:rsidP="00AA5586">
            <w:pPr>
              <w:spacing w:after="0" w:line="254" w:lineRule="auto"/>
              <w:jc w:val="center"/>
              <w:rPr>
                <w:b/>
                <w:bCs/>
                <w:sz w:val="19"/>
                <w:szCs w:val="19"/>
              </w:rPr>
            </w:pPr>
            <w:r>
              <w:rPr>
                <w:b/>
                <w:bCs/>
                <w:sz w:val="19"/>
                <w:szCs w:val="19"/>
              </w:rPr>
              <w:t>ON-14</w:t>
            </w:r>
          </w:p>
        </w:tc>
      </w:tr>
      <w:tr w:rsidR="006774F4" w:rsidRPr="007B50E3" w14:paraId="29EE2C4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DB8B8A8"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290D954" w14:textId="77777777" w:rsidR="006774F4" w:rsidRPr="006774F4" w:rsidRDefault="006774F4" w:rsidP="00AA5586">
            <w:pPr>
              <w:spacing w:after="0" w:line="254" w:lineRule="auto"/>
              <w:rPr>
                <w:lang w:val="fr-FR"/>
              </w:rPr>
            </w:pPr>
            <w:proofErr w:type="gramStart"/>
            <w:r>
              <w:rPr>
                <w:sz w:val="19"/>
                <w:szCs w:val="19"/>
                <w:lang w:val="fr-CA"/>
              </w:rPr>
              <w:t>Ontario  ·</w:t>
            </w:r>
            <w:proofErr w:type="gramEnd"/>
            <w:r>
              <w:rPr>
                <w:sz w:val="19"/>
                <w:szCs w:val="19"/>
                <w:lang w:val="fr-CA"/>
              </w:rPr>
              <w:t xml:space="preserve">  Audit d’optimisation des ressources par le vérificateur législatif</w:t>
            </w:r>
          </w:p>
        </w:tc>
      </w:tr>
      <w:tr w:rsidR="006774F4" w:rsidRPr="006774F4" w14:paraId="6B27BA7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124910E"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2DD9EF3" w14:textId="77777777" w:rsidR="006774F4" w:rsidRPr="006774F4" w:rsidRDefault="006774F4" w:rsidP="00AA5586">
            <w:pPr>
              <w:spacing w:after="0" w:line="254" w:lineRule="auto"/>
              <w:rPr>
                <w:lang w:val="fr-FR"/>
              </w:rPr>
            </w:pPr>
            <w:r>
              <w:rPr>
                <w:sz w:val="19"/>
                <w:szCs w:val="19"/>
                <w:lang w:val="fr-CA"/>
              </w:rPr>
              <w:t>Bureau de la vérificatrice générale de l’Ontario</w:t>
            </w:r>
          </w:p>
        </w:tc>
      </w:tr>
      <w:tr w:rsidR="006774F4" w:rsidRPr="006774F4" w14:paraId="58914A7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E28B660"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E97098" w14:textId="77777777" w:rsidR="006774F4" w:rsidRPr="006774F4" w:rsidRDefault="006774F4" w:rsidP="00AA5586">
            <w:pPr>
              <w:spacing w:after="0" w:line="254" w:lineRule="auto"/>
              <w:rPr>
                <w:lang w:val="fr-FR"/>
              </w:rPr>
            </w:pPr>
            <w:r>
              <w:rPr>
                <w:sz w:val="19"/>
                <w:szCs w:val="19"/>
                <w:lang w:val="fr-CA"/>
              </w:rPr>
              <w:t>Audit de l’optimisation des ressources : inspection et entretien des ponts et ponceaux de la province, 2021</w:t>
            </w:r>
          </w:p>
        </w:tc>
      </w:tr>
      <w:tr w:rsidR="006774F4" w14:paraId="7978F70C"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8E28980"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5C1DE47" w14:textId="77777777" w:rsidR="006774F4" w:rsidRDefault="006774F4" w:rsidP="00AA5586">
            <w:pPr>
              <w:spacing w:after="0" w:line="254" w:lineRule="auto"/>
            </w:pPr>
            <w:r>
              <w:rPr>
                <w:sz w:val="19"/>
                <w:szCs w:val="19"/>
                <w:lang w:val="fr-CA"/>
              </w:rPr>
              <w:t>Ponts et ponceaux</w:t>
            </w:r>
          </w:p>
        </w:tc>
      </w:tr>
      <w:tr w:rsidR="006774F4" w:rsidRPr="006774F4" w14:paraId="258BF4F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0AA7C79"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7760434" w14:textId="77777777" w:rsidR="006774F4" w:rsidRPr="006774F4" w:rsidRDefault="006774F4" w:rsidP="00AA5586">
            <w:pPr>
              <w:spacing w:after="0" w:line="254" w:lineRule="auto"/>
              <w:rPr>
                <w:lang w:val="fr-FR"/>
              </w:rPr>
            </w:pPr>
            <w:r>
              <w:rPr>
                <w:sz w:val="19"/>
                <w:szCs w:val="19"/>
                <w:lang w:val="fr-CA"/>
              </w:rPr>
              <w:t>Environ 3 000 ponts et 2 000 grands ponceaux sur les routes provinciales</w:t>
            </w:r>
          </w:p>
        </w:tc>
      </w:tr>
      <w:tr w:rsidR="006774F4" w14:paraId="062B5E8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5426D4C"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067B8DA" w14:textId="77777777" w:rsidR="006774F4" w:rsidRDefault="006774F4" w:rsidP="00AA5586">
            <w:pPr>
              <w:spacing w:after="0" w:line="254" w:lineRule="auto"/>
            </w:pPr>
            <w:r>
              <w:rPr>
                <w:sz w:val="19"/>
                <w:szCs w:val="19"/>
                <w:lang w:val="fr-CA"/>
              </w:rPr>
              <w:t>Non quantifié</w:t>
            </w:r>
          </w:p>
        </w:tc>
      </w:tr>
      <w:tr w:rsidR="006774F4" w14:paraId="321658D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8D6715B"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5C783C0" w14:textId="77777777" w:rsidR="006774F4" w:rsidRDefault="006774F4" w:rsidP="00AA5586">
            <w:pPr>
              <w:spacing w:after="0" w:line="254" w:lineRule="auto"/>
            </w:pPr>
            <w:r>
              <w:rPr>
                <w:sz w:val="19"/>
                <w:szCs w:val="19"/>
                <w:lang w:val="fr-CA"/>
              </w:rPr>
              <w:t>Non quantifié</w:t>
            </w:r>
          </w:p>
        </w:tc>
      </w:tr>
      <w:tr w:rsidR="006774F4" w14:paraId="20F2713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E5AB56E"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8EEEC78" w14:textId="77777777" w:rsidR="006774F4" w:rsidRDefault="006774F4" w:rsidP="00AA5586">
            <w:pPr>
              <w:spacing w:after="0" w:line="254" w:lineRule="auto"/>
            </w:pPr>
            <w:r>
              <w:rPr>
                <w:sz w:val="19"/>
                <w:szCs w:val="19"/>
              </w:rPr>
              <w:t>C07, C12</w:t>
            </w:r>
          </w:p>
        </w:tc>
      </w:tr>
      <w:tr w:rsidR="006774F4" w14:paraId="04D7139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FEE189C"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C32D30B" w14:textId="77777777" w:rsidR="006774F4" w:rsidRDefault="006774F4" w:rsidP="00AA5586">
            <w:pPr>
              <w:spacing w:after="0" w:line="254" w:lineRule="auto"/>
              <w:rPr>
                <w:color w:val="auto"/>
                <w:sz w:val="19"/>
                <w:szCs w:val="19"/>
              </w:rPr>
            </w:pPr>
            <w:r>
              <w:rPr>
                <w:color w:val="auto"/>
                <w:sz w:val="19"/>
                <w:szCs w:val="19"/>
              </w:rPr>
              <w:t>Governance, Technology</w:t>
            </w:r>
          </w:p>
        </w:tc>
      </w:tr>
    </w:tbl>
    <w:p w14:paraId="4A16F2A7" w14:textId="77777777" w:rsidR="006774F4" w:rsidRDefault="006774F4" w:rsidP="006774F4">
      <w:pPr>
        <w:pStyle w:val="Heading2"/>
      </w:pPr>
      <w:bookmarkStart w:id="140" w:name="__RefHeading___Toc4911_3048004937"/>
      <w:bookmarkStart w:id="141" w:name="_Toc239750713"/>
      <w:bookmarkEnd w:id="140"/>
      <w:r>
        <w:rPr>
          <w:lang w:val="fr-CA"/>
        </w:rPr>
        <w:t>Ce qui s’est passé</w:t>
      </w:r>
      <w:bookmarkEnd w:id="141"/>
    </w:p>
    <w:p w14:paraId="6D67BAFF" w14:textId="77777777" w:rsidR="006774F4" w:rsidRPr="006774F4" w:rsidRDefault="006774F4" w:rsidP="006774F4">
      <w:pPr>
        <w:rPr>
          <w:lang w:val="fr-FR"/>
        </w:rPr>
      </w:pPr>
      <w:r>
        <w:rPr>
          <w:lang w:val="fr-CA"/>
        </w:rPr>
        <w:t>L’Ontario inspecte selon un cycle défini environ 5 000 ouvrages provinciaux. Le vérificateur général a constaté que les observations consignées par les inspecteurs comportent une part de subjectivité, que cette subjectivité se répercute sur la planification des immobilisations et que personne ne vérifie si les travaux d’entretien recommandés par les inspecteurs sont effectivement réalisés.</w:t>
      </w:r>
    </w:p>
    <w:p w14:paraId="3F7DA9AB" w14:textId="77777777" w:rsidR="006774F4" w:rsidRPr="006774F4" w:rsidRDefault="006774F4" w:rsidP="006774F4">
      <w:pPr>
        <w:rPr>
          <w:lang w:val="fr-FR"/>
        </w:rPr>
      </w:pPr>
      <w:r>
        <w:rPr>
          <w:lang w:val="fr-CA"/>
        </w:rPr>
        <w:t>Ce dernier constat mérite qu’on s’y arrête. Un régime d’inspection qui relève les travaux à effectuer sans confirmer qu’ils ont été réalisés n’est pas un système de gestion des actifs. C’est un relevé.</w:t>
      </w:r>
    </w:p>
    <w:p w14:paraId="52E2E7A7" w14:textId="77777777" w:rsidR="006774F4" w:rsidRPr="006774F4" w:rsidRDefault="006774F4" w:rsidP="006774F4">
      <w:pPr>
        <w:rPr>
          <w:lang w:val="fr-FR"/>
        </w:rPr>
      </w:pPr>
      <w:r>
        <w:rPr>
          <w:lang w:val="fr-CA"/>
        </w:rPr>
        <w:t>L’audit a également constaté que la technologie n’était pas utilisée de façon optimale. Il s’agit du cas le plus net du registre où les deux codes les plus importants pour un propriétaire apparaissent ensemble, et seuls : des informations sur l’état des biens auxquelles on ne peut pas se fier et des coûts du cycle de vie qui en découlent.</w:t>
      </w:r>
    </w:p>
    <w:p w14:paraId="65DDC609" w14:textId="77777777" w:rsidR="006774F4" w:rsidRDefault="006774F4" w:rsidP="006774F4">
      <w:pPr>
        <w:pStyle w:val="Heading2"/>
        <w:spacing w:after="110"/>
      </w:pPr>
      <w:bookmarkStart w:id="142" w:name="__RefHeading___Toc4913_3048004937"/>
      <w:bookmarkStart w:id="143" w:name="_Toc239750714"/>
      <w:bookmarkEnd w:id="142"/>
      <w:r>
        <w:rPr>
          <w:lang w:val="fr-CA"/>
        </w:rPr>
        <w:t>Constats du rapport</w:t>
      </w:r>
      <w:bookmarkEnd w:id="143"/>
    </w:p>
    <w:p w14:paraId="08033558" w14:textId="77777777" w:rsidR="006774F4" w:rsidRPr="006774F4" w:rsidRDefault="006774F4" w:rsidP="006774F4">
      <w:pPr>
        <w:pStyle w:val="ListParagraph"/>
        <w:numPr>
          <w:ilvl w:val="0"/>
          <w:numId w:val="1"/>
        </w:numPr>
        <w:spacing w:after="100" w:line="276" w:lineRule="auto"/>
        <w:contextualSpacing w:val="0"/>
        <w:rPr>
          <w:sz w:val="21"/>
          <w:szCs w:val="21"/>
          <w:lang w:val="fr-FR"/>
        </w:rPr>
      </w:pPr>
      <w:r>
        <w:rPr>
          <w:sz w:val="21"/>
          <w:szCs w:val="21"/>
          <w:lang w:val="fr-CA"/>
        </w:rPr>
        <w:t xml:space="preserve">« </w:t>
      </w:r>
      <w:proofErr w:type="gramStart"/>
      <w:r>
        <w:rPr>
          <w:sz w:val="21"/>
          <w:szCs w:val="21"/>
          <w:lang w:val="fr-CA"/>
        </w:rPr>
        <w:t>le</w:t>
      </w:r>
      <w:proofErr w:type="gramEnd"/>
      <w:r>
        <w:rPr>
          <w:sz w:val="21"/>
          <w:szCs w:val="21"/>
          <w:lang w:val="fr-CA"/>
        </w:rPr>
        <w:t xml:space="preserve"> Ministère pourrait améliorer son processus d’inspection, puisque les inspecteurs doivent actuellement porter des jugements subjectifs qui peuvent ultimement avoir une incidence sur la planification des immobilisations »</w:t>
      </w:r>
    </w:p>
    <w:p w14:paraId="7E221DEC" w14:textId="77777777" w:rsidR="006774F4" w:rsidRPr="006774F4" w:rsidRDefault="006774F4" w:rsidP="006774F4">
      <w:pPr>
        <w:pStyle w:val="ListParagraph"/>
        <w:numPr>
          <w:ilvl w:val="0"/>
          <w:numId w:val="1"/>
        </w:numPr>
        <w:spacing w:after="100" w:line="276" w:lineRule="auto"/>
        <w:contextualSpacing w:val="0"/>
        <w:rPr>
          <w:sz w:val="21"/>
          <w:szCs w:val="21"/>
          <w:lang w:val="fr-FR"/>
        </w:rPr>
      </w:pPr>
      <w:proofErr w:type="gramStart"/>
      <w:r>
        <w:rPr>
          <w:sz w:val="21"/>
          <w:szCs w:val="21"/>
          <w:lang w:val="fr-CA"/>
        </w:rPr>
        <w:t>l’audit</w:t>
      </w:r>
      <w:proofErr w:type="gramEnd"/>
      <w:r>
        <w:rPr>
          <w:sz w:val="21"/>
          <w:szCs w:val="21"/>
          <w:lang w:val="fr-CA"/>
        </w:rPr>
        <w:t xml:space="preserve"> recommande une application plus rigoureuse des normes afin que des données exactes et complètes sur l’inspection des ponts soient recueillies pour appuyer la prise de décision</w:t>
      </w:r>
    </w:p>
    <w:p w14:paraId="7DE2E655" w14:textId="77777777" w:rsidR="006774F4" w:rsidRPr="006774F4" w:rsidRDefault="006774F4" w:rsidP="006774F4">
      <w:pPr>
        <w:pStyle w:val="ListParagraph"/>
        <w:numPr>
          <w:ilvl w:val="0"/>
          <w:numId w:val="1"/>
        </w:numPr>
        <w:spacing w:after="100" w:line="276" w:lineRule="auto"/>
        <w:contextualSpacing w:val="0"/>
        <w:rPr>
          <w:sz w:val="21"/>
          <w:szCs w:val="21"/>
          <w:lang w:val="fr-FR"/>
        </w:rPr>
      </w:pPr>
      <w:r>
        <w:rPr>
          <w:sz w:val="21"/>
          <w:szCs w:val="21"/>
          <w:lang w:val="fr-CA"/>
        </w:rPr>
        <w:lastRenderedPageBreak/>
        <w:t xml:space="preserve">« </w:t>
      </w:r>
      <w:proofErr w:type="gramStart"/>
      <w:r>
        <w:rPr>
          <w:sz w:val="21"/>
          <w:szCs w:val="21"/>
          <w:lang w:val="fr-CA"/>
        </w:rPr>
        <w:t>aucun</w:t>
      </w:r>
      <w:proofErr w:type="gramEnd"/>
      <w:r>
        <w:rPr>
          <w:sz w:val="21"/>
          <w:szCs w:val="21"/>
          <w:lang w:val="fr-CA"/>
        </w:rPr>
        <w:t xml:space="preserve"> suivi n’est effectué pour confirmer que les recommandations formulées par les inspecteurs concernant les travaux d’entretien relevés sont mises en œuvre »</w:t>
      </w:r>
    </w:p>
    <w:p w14:paraId="04AB57F9" w14:textId="77777777" w:rsidR="006774F4" w:rsidRPr="006774F4" w:rsidRDefault="006774F4" w:rsidP="006774F4">
      <w:pPr>
        <w:pStyle w:val="ListParagraph"/>
        <w:numPr>
          <w:ilvl w:val="0"/>
          <w:numId w:val="1"/>
        </w:numPr>
        <w:spacing w:after="100" w:line="276" w:lineRule="auto"/>
        <w:contextualSpacing w:val="0"/>
        <w:rPr>
          <w:sz w:val="21"/>
          <w:szCs w:val="21"/>
          <w:lang w:val="fr-FR"/>
        </w:rPr>
      </w:pPr>
      <w:r>
        <w:rPr>
          <w:sz w:val="21"/>
          <w:szCs w:val="21"/>
          <w:lang w:val="fr-CA"/>
        </w:rPr>
        <w:t xml:space="preserve">« </w:t>
      </w:r>
      <w:proofErr w:type="gramStart"/>
      <w:r>
        <w:rPr>
          <w:sz w:val="21"/>
          <w:szCs w:val="21"/>
          <w:lang w:val="fr-CA"/>
        </w:rPr>
        <w:t>la</w:t>
      </w:r>
      <w:proofErr w:type="gramEnd"/>
      <w:r>
        <w:rPr>
          <w:sz w:val="21"/>
          <w:szCs w:val="21"/>
          <w:lang w:val="fr-CA"/>
        </w:rPr>
        <w:t xml:space="preserve"> technologie n’est pas utilisée de façon optimale pour améliorer l’efficience et la rentabilité et pour résoudre les problèmes d’accessibilité »</w:t>
      </w:r>
    </w:p>
    <w:p w14:paraId="3C5AA022" w14:textId="77777777" w:rsidR="006774F4" w:rsidRDefault="006774F4" w:rsidP="006774F4">
      <w:pPr>
        <w:pStyle w:val="Heading2"/>
      </w:pPr>
      <w:bookmarkStart w:id="144" w:name="__RefHeading___Toc4915_3048004937"/>
      <w:bookmarkEnd w:id="144"/>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10"/>
        <w:gridCol w:w="2530"/>
      </w:tblGrid>
      <w:tr w:rsidR="006774F4" w14:paraId="741534A8" w14:textId="77777777" w:rsidTr="00AA5586">
        <w:trPr>
          <w:cantSplit/>
          <w:tblHeader/>
        </w:trPr>
        <w:tc>
          <w:tcPr>
            <w:tcW w:w="900" w:type="dxa"/>
            <w:shd w:val="clear" w:color="auto" w:fill="1B3A6B"/>
          </w:tcPr>
          <w:p w14:paraId="7BBE066C"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shd w:val="clear" w:color="auto" w:fill="1B3A6B"/>
          </w:tcPr>
          <w:p w14:paraId="440967C7" w14:textId="77777777" w:rsidR="006774F4" w:rsidRDefault="006774F4" w:rsidP="00AA5586">
            <w:pPr>
              <w:spacing w:after="0" w:line="254" w:lineRule="auto"/>
              <w:jc w:val="center"/>
            </w:pPr>
            <w:r>
              <w:rPr>
                <w:b/>
                <w:bCs/>
                <w:caps/>
                <w:color w:val="FFFFFF"/>
                <w:spacing w:val="16"/>
                <w:sz w:val="18"/>
                <w:szCs w:val="18"/>
                <w:lang w:val="fr-CA"/>
              </w:rPr>
              <w:t>Cause</w:t>
            </w:r>
          </w:p>
        </w:tc>
        <w:tc>
          <w:tcPr>
            <w:tcW w:w="1710" w:type="dxa"/>
            <w:shd w:val="clear" w:color="auto" w:fill="1B3A6B"/>
          </w:tcPr>
          <w:p w14:paraId="37DF1197"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30" w:type="dxa"/>
            <w:shd w:val="clear" w:color="auto" w:fill="1B3A6B"/>
          </w:tcPr>
          <w:p w14:paraId="03B28E99"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0CB79F2F" w14:textId="77777777" w:rsidTr="00AA5586">
        <w:trPr>
          <w:cantSplit/>
        </w:trPr>
        <w:tc>
          <w:tcPr>
            <w:tcW w:w="900" w:type="dxa"/>
            <w:tcBorders>
              <w:left w:val="single" w:sz="4" w:space="0" w:color="000000"/>
              <w:bottom w:val="single" w:sz="4" w:space="0" w:color="000000"/>
              <w:right w:val="single" w:sz="4" w:space="0" w:color="000000"/>
            </w:tcBorders>
            <w:shd w:val="clear" w:color="auto" w:fill="FFFFFF" w:themeFill="background1"/>
            <w:vAlign w:val="center"/>
          </w:tcPr>
          <w:p w14:paraId="6C921042" w14:textId="77777777" w:rsidR="006774F4" w:rsidRDefault="006774F4" w:rsidP="00AA5586">
            <w:pPr>
              <w:spacing w:after="0" w:line="254" w:lineRule="auto"/>
              <w:jc w:val="center"/>
            </w:pPr>
            <w:r>
              <w:rPr>
                <w:b/>
                <w:bCs/>
                <w:sz w:val="18"/>
                <w:szCs w:val="18"/>
              </w:rPr>
              <w:t>C07</w:t>
            </w:r>
          </w:p>
        </w:tc>
        <w:tc>
          <w:tcPr>
            <w:tcW w:w="5099" w:type="dxa"/>
            <w:tcBorders>
              <w:left w:val="single" w:sz="4" w:space="0" w:color="000000"/>
              <w:bottom w:val="single" w:sz="4" w:space="0" w:color="000000"/>
              <w:right w:val="single" w:sz="4" w:space="0" w:color="000000"/>
            </w:tcBorders>
            <w:shd w:val="clear" w:color="auto" w:fill="FFFFFF" w:themeFill="background1"/>
            <w:vAlign w:val="center"/>
          </w:tcPr>
          <w:p w14:paraId="3A869E4D"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710" w:type="dxa"/>
            <w:tcBorders>
              <w:left w:val="single" w:sz="4" w:space="0" w:color="000000"/>
              <w:bottom w:val="single" w:sz="4" w:space="0" w:color="000000"/>
              <w:right w:val="single" w:sz="4" w:space="0" w:color="000000"/>
            </w:tcBorders>
            <w:shd w:val="clear" w:color="auto" w:fill="FFFFFF" w:themeFill="background1"/>
            <w:vAlign w:val="center"/>
          </w:tcPr>
          <w:p w14:paraId="5973C038" w14:textId="77777777" w:rsidR="006774F4" w:rsidRDefault="006774F4" w:rsidP="00AA5586">
            <w:pPr>
              <w:spacing w:after="0" w:line="254" w:lineRule="auto"/>
              <w:jc w:val="center"/>
            </w:pPr>
            <w:r>
              <w:rPr>
                <w:b/>
                <w:bCs/>
                <w:color w:val="B85C30"/>
                <w:sz w:val="18"/>
                <w:szCs w:val="18"/>
                <w:lang w:val="fr-CA"/>
              </w:rPr>
              <w:t>29,1 %</w:t>
            </w:r>
          </w:p>
        </w:tc>
        <w:tc>
          <w:tcPr>
            <w:tcW w:w="2530" w:type="dxa"/>
            <w:tcBorders>
              <w:left w:val="single" w:sz="4" w:space="0" w:color="000000"/>
              <w:bottom w:val="single" w:sz="4" w:space="0" w:color="000000"/>
              <w:right w:val="single" w:sz="4" w:space="0" w:color="000000"/>
            </w:tcBorders>
            <w:shd w:val="clear" w:color="auto" w:fill="FFFFFF" w:themeFill="background1"/>
            <w:vAlign w:val="center"/>
          </w:tcPr>
          <w:p w14:paraId="48A212CA" w14:textId="77777777" w:rsidR="006774F4" w:rsidRDefault="006774F4" w:rsidP="00AA5586">
            <w:pPr>
              <w:spacing w:after="0" w:line="254" w:lineRule="auto"/>
              <w:jc w:val="center"/>
            </w:pPr>
            <w:r>
              <w:rPr>
                <w:sz w:val="18"/>
                <w:szCs w:val="18"/>
              </w:rPr>
              <w:t>Technology</w:t>
            </w:r>
          </w:p>
        </w:tc>
      </w:tr>
      <w:tr w:rsidR="006774F4" w14:paraId="0A26DF5B"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B6292B5"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A31248"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71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E01169D" w14:textId="77777777" w:rsidR="006774F4" w:rsidRDefault="006774F4" w:rsidP="00AA5586">
            <w:pPr>
              <w:spacing w:after="0" w:line="254" w:lineRule="auto"/>
              <w:jc w:val="center"/>
            </w:pPr>
            <w:r>
              <w:rPr>
                <w:b/>
                <w:bCs/>
                <w:color w:val="B85C30"/>
                <w:sz w:val="18"/>
                <w:szCs w:val="18"/>
                <w:lang w:val="fr-CA"/>
              </w:rPr>
              <w:t>34,5 %</w:t>
            </w:r>
          </w:p>
        </w:tc>
        <w:tc>
          <w:tcPr>
            <w:tcW w:w="253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ACD89A9" w14:textId="77777777" w:rsidR="006774F4" w:rsidRDefault="006774F4" w:rsidP="00AA5586">
            <w:pPr>
              <w:spacing w:after="0" w:line="254" w:lineRule="auto"/>
              <w:jc w:val="center"/>
            </w:pPr>
            <w:r>
              <w:rPr>
                <w:sz w:val="18"/>
                <w:szCs w:val="18"/>
              </w:rPr>
              <w:t>Governance</w:t>
            </w:r>
          </w:p>
        </w:tc>
      </w:tr>
    </w:tbl>
    <w:p w14:paraId="10535A10" w14:textId="77777777" w:rsidR="006774F4" w:rsidRPr="006774F4" w:rsidRDefault="006774F4" w:rsidP="006774F4">
      <w:pPr>
        <w:pStyle w:val="Heading2"/>
        <w:rPr>
          <w:lang w:val="fr-FR"/>
        </w:rPr>
      </w:pPr>
      <w:bookmarkStart w:id="145" w:name="__RefHeading___Toc4917_3048004937"/>
      <w:bookmarkStart w:id="146" w:name="_Toc239750716"/>
      <w:bookmarkEnd w:id="145"/>
      <w:r>
        <w:rPr>
          <w:lang w:val="fr-CA"/>
        </w:rPr>
        <w:t xml:space="preserve">Ce qu’une intervention de Clarity </w:t>
      </w:r>
      <w:proofErr w:type="spellStart"/>
      <w:r>
        <w:rPr>
          <w:lang w:val="fr-CA"/>
        </w:rPr>
        <w:t>Builders</w:t>
      </w:r>
      <w:proofErr w:type="spellEnd"/>
      <w:r>
        <w:rPr>
          <w:lang w:val="fr-CA"/>
        </w:rPr>
        <w:t xml:space="preserve"> aurait permis d’aborder</w:t>
      </w:r>
      <w:bookmarkEnd w:id="146"/>
    </w:p>
    <w:p w14:paraId="68B2CD89" w14:textId="77777777" w:rsidR="006774F4" w:rsidRPr="006774F4" w:rsidRDefault="006774F4" w:rsidP="006774F4">
      <w:pPr>
        <w:pStyle w:val="ListParagraph"/>
        <w:numPr>
          <w:ilvl w:val="0"/>
          <w:numId w:val="12"/>
        </w:numPr>
        <w:spacing w:after="100" w:line="276" w:lineRule="auto"/>
        <w:contextualSpacing w:val="0"/>
        <w:rPr>
          <w:sz w:val="21"/>
          <w:szCs w:val="21"/>
          <w:lang w:val="fr-FR"/>
        </w:rPr>
      </w:pPr>
      <w:r>
        <w:rPr>
          <w:b/>
          <w:bCs/>
          <w:color w:val="1B3A6B"/>
          <w:sz w:val="21"/>
          <w:szCs w:val="21"/>
          <w:lang w:val="fr-CA"/>
        </w:rPr>
        <w:t xml:space="preserve">5.5 Information management design.  </w:t>
      </w:r>
      <w:r>
        <w:rPr>
          <w:sz w:val="21"/>
          <w:szCs w:val="21"/>
          <w:lang w:val="fr-CA"/>
        </w:rPr>
        <w:t>La subjectivité des inspections est d’abord un problème de définition des données. Si l’échelle d’évaluation n’encadre pas suffisamment le jugement, les données consignées ne peuvent pas soutenir de façon fiable le plan d’immobilisations qui en dépend.</w:t>
      </w:r>
    </w:p>
    <w:p w14:paraId="2E83E3AD" w14:textId="77777777" w:rsidR="006774F4" w:rsidRDefault="006774F4" w:rsidP="006774F4">
      <w:pPr>
        <w:pStyle w:val="ListParagraph"/>
        <w:numPr>
          <w:ilvl w:val="0"/>
          <w:numId w:val="12"/>
        </w:numPr>
        <w:spacing w:after="100" w:line="276" w:lineRule="auto"/>
        <w:contextualSpacing w:val="0"/>
        <w:rPr>
          <w:sz w:val="21"/>
          <w:szCs w:val="21"/>
        </w:rPr>
      </w:pPr>
      <w:r>
        <w:rPr>
          <w:b/>
          <w:bCs/>
          <w:color w:val="1B3A6B"/>
          <w:sz w:val="21"/>
          <w:szCs w:val="21"/>
          <w:lang w:val="fr-CA"/>
        </w:rPr>
        <w:t xml:space="preserve">5.9 Information </w:t>
      </w:r>
      <w:proofErr w:type="spellStart"/>
      <w:r>
        <w:rPr>
          <w:b/>
          <w:bCs/>
          <w:color w:val="1B3A6B"/>
          <w:sz w:val="21"/>
          <w:szCs w:val="21"/>
          <w:lang w:val="fr-CA"/>
        </w:rPr>
        <w:t>requirements</w:t>
      </w:r>
      <w:proofErr w:type="spellEnd"/>
      <w:r>
        <w:rPr>
          <w:b/>
          <w:bCs/>
          <w:color w:val="1B3A6B"/>
          <w:sz w:val="21"/>
          <w:szCs w:val="21"/>
          <w:lang w:val="fr-CA"/>
        </w:rPr>
        <w:t xml:space="preserve">.  </w:t>
      </w:r>
      <w:r>
        <w:rPr>
          <w:sz w:val="21"/>
          <w:szCs w:val="21"/>
          <w:lang w:val="fr-CA"/>
        </w:rPr>
        <w:t>Une recommandation d’inspection est un objet d’information qui suit un cycle de vie : créée, planifiée, exécutée, puis clôturée. Aucun de ces états n’était suivi.</w:t>
      </w:r>
    </w:p>
    <w:p w14:paraId="14C234B3" w14:textId="77777777" w:rsidR="006774F4" w:rsidRPr="006774F4" w:rsidRDefault="006774F4" w:rsidP="006774F4">
      <w:pPr>
        <w:pStyle w:val="ListParagraph"/>
        <w:numPr>
          <w:ilvl w:val="0"/>
          <w:numId w:val="12"/>
        </w:numPr>
        <w:spacing w:after="100" w:line="276" w:lineRule="auto"/>
        <w:contextualSpacing w:val="0"/>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Une planification des immobilisations fondée sur des cotes d’état subjectives constitue une décision de financement reposant sur une marge d’incertitude qui n’est pas explicitée.</w:t>
      </w:r>
    </w:p>
    <w:p w14:paraId="796C6A20" w14:textId="77777777" w:rsidR="006774F4" w:rsidRPr="006774F4" w:rsidRDefault="006774F4" w:rsidP="006774F4">
      <w:pPr>
        <w:pStyle w:val="Heading2"/>
        <w:rPr>
          <w:lang w:val="fr-FR"/>
        </w:rPr>
      </w:pPr>
      <w:bookmarkStart w:id="147" w:name="__RefHeading___Toc4919_3048004937"/>
      <w:bookmarkStart w:id="148" w:name="_Toc239750717"/>
      <w:bookmarkEnd w:id="147"/>
      <w:r>
        <w:rPr>
          <w:lang w:val="fr-CA"/>
        </w:rPr>
        <w:t>Scénario illustratif</w:t>
      </w:r>
      <w:bookmarkEnd w:id="148"/>
    </w:p>
    <w:p w14:paraId="4F30492E" w14:textId="77777777" w:rsidR="006774F4" w:rsidRPr="006774F4" w:rsidRDefault="006774F4" w:rsidP="006774F4">
      <w:pPr>
        <w:rPr>
          <w:lang w:val="fr-FR"/>
        </w:rPr>
      </w:pPr>
      <w:r>
        <w:rPr>
          <w:lang w:val="fr-CA"/>
        </w:rPr>
        <w:t>L’audit ne quantifie ni les coûts ni l’échéancier; il n’y a donc aucun montant à ventiler.</w:t>
      </w:r>
    </w:p>
    <w:p w14:paraId="0A7457C9" w14:textId="77777777" w:rsidR="006774F4" w:rsidRPr="006774F4" w:rsidRDefault="006774F4" w:rsidP="006774F4">
      <w:pPr>
        <w:keepNext/>
        <w:spacing w:after="50"/>
        <w:rPr>
          <w:lang w:val="fr-FR"/>
        </w:rPr>
      </w:pPr>
      <w:r>
        <w:rPr>
          <w:lang w:val="fr-CA"/>
        </w:rPr>
        <w:t>Le scénario illustratif porte sur l’effet cumulatif. Des informations peu fiables sur les biens et leur état apparaissent dans 29,1 % des entrées canadiennes du registre, et l’absence de prévision ou de financement des coûts du cycle de vie dans 34,5 %. Statistique Canada indique par ailleurs que les propriétaires canadiens ne sont pas en mesure de préciser l’état physique de biens d’une valeur de 141,7 milliards de dollars. Les ouvrages de l’Ontario sont inspectés. Le constat est que faire l’objet d’une inspection et être réellement connu sont deux choses différentes.</w:t>
      </w:r>
    </w:p>
    <w:p w14:paraId="2C5866FA" w14:textId="77777777" w:rsidR="006774F4" w:rsidRPr="006774F4" w:rsidRDefault="006774F4" w:rsidP="006774F4">
      <w:pPr>
        <w:pStyle w:val="Heading2"/>
        <w:rPr>
          <w:lang w:val="fr-FR"/>
        </w:rPr>
      </w:pPr>
      <w:bookmarkStart w:id="149" w:name="__RefHeading___Toc4921_3048004937"/>
      <w:bookmarkEnd w:id="149"/>
      <w:r>
        <w:rPr>
          <w:lang w:val="fr-CA"/>
        </w:rPr>
        <w:t>Contrefactuel</w:t>
      </w:r>
    </w:p>
    <w:p w14:paraId="56735E0F"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qu’un pont de l’Ontario est dangereux. L’audit ne formule aucune conclusion en ce sens.</w:t>
      </w:r>
    </w:p>
    <w:p w14:paraId="22EC4C1A"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lastRenderedPageBreak/>
        <w:t>Nous affirmons qu’un plan d’immobilisations fondé sur des cotes subjectives, sans confirmation que les travaux recommandés ont été exécutés, est un plan dont personne ne peut établir le degré de précision.</w:t>
      </w:r>
    </w:p>
    <w:p w14:paraId="5E305570" w14:textId="77777777" w:rsidR="006774F4" w:rsidRPr="006774F4" w:rsidRDefault="006774F4" w:rsidP="006774F4">
      <w:pPr>
        <w:rPr>
          <w:lang w:val="fr-FR"/>
        </w:rPr>
      </w:pPr>
      <w:r w:rsidRPr="006774F4">
        <w:rPr>
          <w:lang w:val="fr-FR"/>
        </w:rPr>
        <w:br w:type="page"/>
      </w:r>
    </w:p>
    <w:p w14:paraId="7F4A9B46" w14:textId="77777777" w:rsidR="006774F4" w:rsidRPr="006774F4" w:rsidRDefault="006774F4" w:rsidP="006774F4">
      <w:pPr>
        <w:pStyle w:val="Heading1"/>
        <w:spacing w:after="170"/>
        <w:rPr>
          <w:b/>
          <w:bCs/>
          <w:color w:val="1B3A6B"/>
          <w:sz w:val="28"/>
          <w:szCs w:val="28"/>
          <w:lang w:val="fr-FR"/>
        </w:rPr>
      </w:pPr>
      <w:bookmarkStart w:id="150" w:name="__RefHeading___Toc4923_3048004937"/>
      <w:bookmarkStart w:id="151" w:name="_Toc239750718"/>
      <w:bookmarkEnd w:id="150"/>
      <w:r>
        <w:rPr>
          <w:b/>
          <w:bCs/>
          <w:color w:val="1B3A6B"/>
          <w:sz w:val="28"/>
          <w:szCs w:val="28"/>
          <w:lang w:val="fr-CA"/>
        </w:rPr>
        <w:lastRenderedPageBreak/>
        <w:t>Cas 12.  Infrastructures de la Défense</w:t>
      </w:r>
      <w:bookmarkEnd w:id="151"/>
    </w:p>
    <w:p w14:paraId="6C33DAB7" w14:textId="77777777" w:rsidR="006774F4" w:rsidRPr="006774F4" w:rsidRDefault="006774F4" w:rsidP="006774F4">
      <w:pPr>
        <w:keepNext/>
        <w:spacing w:before="210" w:after="150" w:line="290" w:lineRule="auto"/>
        <w:rPr>
          <w:b/>
          <w:bCs/>
          <w:color w:val="C45911" w:themeColor="accent2" w:themeShade="BF"/>
          <w:lang w:val="fr-FR"/>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06E8FAA6" w14:textId="77777777" w:rsidTr="00AA5586">
        <w:trPr>
          <w:cantSplit/>
        </w:trPr>
        <w:tc>
          <w:tcPr>
            <w:tcW w:w="2700" w:type="dxa"/>
            <w:tcBorders>
              <w:bottom w:val="single" w:sz="4" w:space="0" w:color="000000"/>
            </w:tcBorders>
            <w:shd w:val="clear" w:color="auto" w:fill="E2E8F0"/>
            <w:vAlign w:val="center"/>
          </w:tcPr>
          <w:p w14:paraId="1C5A9C4A"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5B2A7575" w14:textId="77777777" w:rsidR="006774F4" w:rsidRDefault="006774F4" w:rsidP="00AA5586">
            <w:pPr>
              <w:spacing w:after="0" w:line="254" w:lineRule="auto"/>
              <w:jc w:val="center"/>
              <w:rPr>
                <w:b/>
                <w:bCs/>
                <w:sz w:val="19"/>
                <w:szCs w:val="19"/>
              </w:rPr>
            </w:pPr>
            <w:r>
              <w:rPr>
                <w:b/>
                <w:bCs/>
                <w:sz w:val="19"/>
                <w:szCs w:val="19"/>
              </w:rPr>
              <w:t>FED-17</w:t>
            </w:r>
          </w:p>
        </w:tc>
      </w:tr>
      <w:tr w:rsidR="006774F4" w14:paraId="6D93DB6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2E4706C"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0B9A8F8" w14:textId="77777777" w:rsidR="006774F4" w:rsidRDefault="006774F4" w:rsidP="00AA5586">
            <w:pPr>
              <w:spacing w:after="0" w:line="254" w:lineRule="auto"/>
            </w:pPr>
            <w:proofErr w:type="gramStart"/>
            <w:r>
              <w:rPr>
                <w:sz w:val="19"/>
                <w:szCs w:val="19"/>
                <w:lang w:val="fr-CA"/>
              </w:rPr>
              <w:t>Canada  ·</w:t>
            </w:r>
            <w:proofErr w:type="gramEnd"/>
            <w:r>
              <w:rPr>
                <w:sz w:val="19"/>
                <w:szCs w:val="19"/>
                <w:lang w:val="fr-CA"/>
              </w:rPr>
              <w:t xml:space="preserve">  Audit interne</w:t>
            </w:r>
          </w:p>
        </w:tc>
      </w:tr>
      <w:tr w:rsidR="006774F4" w:rsidRPr="006774F4" w14:paraId="55F0D7F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C53F54D"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BF660EB" w14:textId="77777777" w:rsidR="006774F4" w:rsidRPr="006774F4" w:rsidRDefault="006774F4" w:rsidP="00AA5586">
            <w:pPr>
              <w:spacing w:after="0" w:line="254" w:lineRule="auto"/>
              <w:rPr>
                <w:lang w:val="fr-FR"/>
              </w:rPr>
            </w:pPr>
            <w:r>
              <w:rPr>
                <w:sz w:val="19"/>
                <w:szCs w:val="19"/>
                <w:lang w:val="fr-CA"/>
              </w:rPr>
              <w:t>Sous-ministre adjoint (Services d’examen), ministère de la Défense nationale</w:t>
            </w:r>
          </w:p>
        </w:tc>
      </w:tr>
      <w:tr w:rsidR="006774F4" w:rsidRPr="006774F4" w14:paraId="40608D5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399C1E0"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CAF691F" w14:textId="77777777" w:rsidR="006774F4" w:rsidRPr="006774F4" w:rsidRDefault="006774F4" w:rsidP="00AA5586">
            <w:pPr>
              <w:spacing w:after="0" w:line="254" w:lineRule="auto"/>
              <w:rPr>
                <w:lang w:val="fr-FR"/>
              </w:rPr>
            </w:pPr>
            <w:r>
              <w:rPr>
                <w:sz w:val="19"/>
                <w:szCs w:val="19"/>
                <w:lang w:val="fr-CA"/>
              </w:rPr>
              <w:t>Audit des infrastructures de la Défense, 2024</w:t>
            </w:r>
          </w:p>
        </w:tc>
      </w:tr>
      <w:tr w:rsidR="006774F4" w:rsidRPr="006774F4" w14:paraId="2713827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31A726E"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8A4D887" w14:textId="77777777" w:rsidR="006774F4" w:rsidRPr="006774F4" w:rsidRDefault="006774F4" w:rsidP="00AA5586">
            <w:pPr>
              <w:spacing w:after="0" w:line="254" w:lineRule="auto"/>
              <w:rPr>
                <w:lang w:val="fr-FR"/>
              </w:rPr>
            </w:pPr>
            <w:r>
              <w:rPr>
                <w:sz w:val="19"/>
                <w:szCs w:val="19"/>
                <w:lang w:val="fr-CA"/>
              </w:rPr>
              <w:t>Infrastructures de la Défense : bâtiments, ouvrages et terrains</w:t>
            </w:r>
          </w:p>
        </w:tc>
      </w:tr>
      <w:tr w:rsidR="006774F4" w:rsidRPr="006774F4" w14:paraId="4B75FFD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280FDC0"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9938585" w14:textId="77777777" w:rsidR="006774F4" w:rsidRPr="006774F4" w:rsidRDefault="006774F4" w:rsidP="00AA5586">
            <w:pPr>
              <w:spacing w:after="0" w:line="254" w:lineRule="auto"/>
              <w:rPr>
                <w:lang w:val="fr-FR"/>
              </w:rPr>
            </w:pPr>
            <w:r>
              <w:rPr>
                <w:sz w:val="19"/>
                <w:szCs w:val="19"/>
                <w:lang w:val="fr-CA"/>
              </w:rPr>
              <w:t>Environ 21 000 bâtiments, 13 500 ouvrages et 2,2 millions d’hectares de terrains, pour un coût de remplacement d’environ 28 milliards de dollars</w:t>
            </w:r>
          </w:p>
        </w:tc>
      </w:tr>
      <w:tr w:rsidR="006774F4" w14:paraId="545914D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8E450EB"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01063D" w14:textId="77777777" w:rsidR="006774F4" w:rsidRDefault="006774F4" w:rsidP="00AA5586">
            <w:pPr>
              <w:spacing w:after="0" w:line="254" w:lineRule="auto"/>
            </w:pPr>
            <w:r>
              <w:rPr>
                <w:sz w:val="19"/>
                <w:szCs w:val="19"/>
                <w:lang w:val="fr-CA"/>
              </w:rPr>
              <w:t>Non quantifié</w:t>
            </w:r>
          </w:p>
        </w:tc>
      </w:tr>
      <w:tr w:rsidR="006774F4" w:rsidRPr="006774F4" w14:paraId="6F2E48F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88195A1"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E5648A9" w14:textId="77777777" w:rsidR="006774F4" w:rsidRPr="006774F4" w:rsidRDefault="006774F4" w:rsidP="00AA5586">
            <w:pPr>
              <w:spacing w:after="0" w:line="254" w:lineRule="auto"/>
              <w:rPr>
                <w:lang w:val="fr-FR"/>
              </w:rPr>
            </w:pPr>
            <w:r>
              <w:rPr>
                <w:sz w:val="19"/>
                <w:szCs w:val="19"/>
                <w:lang w:val="fr-CA"/>
              </w:rPr>
              <w:t>Non quantifié. Environ 25 % des infrastructures existantes ont plus de 50 ans.</w:t>
            </w:r>
          </w:p>
        </w:tc>
      </w:tr>
      <w:tr w:rsidR="006774F4" w14:paraId="2842244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DB145AD"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4CAEF10" w14:textId="77777777" w:rsidR="006774F4" w:rsidRDefault="006774F4" w:rsidP="00AA5586">
            <w:pPr>
              <w:spacing w:after="0" w:line="254" w:lineRule="auto"/>
            </w:pPr>
            <w:r>
              <w:rPr>
                <w:sz w:val="19"/>
                <w:szCs w:val="19"/>
              </w:rPr>
              <w:t>C07, C08, C12, C13, C14</w:t>
            </w:r>
          </w:p>
        </w:tc>
      </w:tr>
      <w:tr w:rsidR="006774F4" w14:paraId="5549844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C75E41A"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1BC710B" w14:textId="77777777" w:rsidR="006774F4" w:rsidRDefault="006774F4" w:rsidP="00AA5586">
            <w:pPr>
              <w:spacing w:after="0" w:line="254" w:lineRule="auto"/>
              <w:rPr>
                <w:color w:val="auto"/>
                <w:sz w:val="19"/>
                <w:szCs w:val="19"/>
              </w:rPr>
            </w:pPr>
            <w:r>
              <w:rPr>
                <w:color w:val="auto"/>
                <w:sz w:val="19"/>
                <w:szCs w:val="19"/>
              </w:rPr>
              <w:t>Contracts, Governance, People, Process, Technology</w:t>
            </w:r>
          </w:p>
        </w:tc>
      </w:tr>
    </w:tbl>
    <w:p w14:paraId="00650E29" w14:textId="77777777" w:rsidR="006774F4" w:rsidRPr="006774F4" w:rsidRDefault="006774F4" w:rsidP="006774F4">
      <w:pPr>
        <w:pStyle w:val="Heading2"/>
        <w:rPr>
          <w:lang w:val="fr-FR"/>
        </w:rPr>
      </w:pPr>
      <w:bookmarkStart w:id="152" w:name="__RefHeading___Toc4925_3048004937"/>
      <w:bookmarkStart w:id="153" w:name="_Toc239750719"/>
      <w:bookmarkEnd w:id="152"/>
      <w:r>
        <w:rPr>
          <w:lang w:val="fr-CA"/>
        </w:rPr>
        <w:t>Ce qui s’est passé</w:t>
      </w:r>
      <w:bookmarkEnd w:id="153"/>
    </w:p>
    <w:p w14:paraId="3FDCF75D" w14:textId="77777777" w:rsidR="006774F4" w:rsidRPr="006774F4" w:rsidRDefault="006774F4" w:rsidP="006774F4">
      <w:pPr>
        <w:rPr>
          <w:lang w:val="fr-FR"/>
        </w:rPr>
      </w:pPr>
      <w:r>
        <w:rPr>
          <w:lang w:val="fr-CA"/>
        </w:rPr>
        <w:t xml:space="preserve">Il s’agit de la seule entrée du registre qui touche les cinq dimensions de Clarity </w:t>
      </w:r>
      <w:proofErr w:type="spellStart"/>
      <w:r>
        <w:rPr>
          <w:lang w:val="fr-CA"/>
        </w:rPr>
        <w:t>Builders</w:t>
      </w:r>
      <w:proofErr w:type="spellEnd"/>
      <w:r>
        <w:rPr>
          <w:lang w:val="fr-CA"/>
        </w:rPr>
        <w:t>, et c’est le cas qui montre pourquoi le diagnostic en compte cinq plutôt que trois.</w:t>
      </w:r>
    </w:p>
    <w:p w14:paraId="1B0A74AB" w14:textId="77777777" w:rsidR="006774F4" w:rsidRPr="006774F4" w:rsidRDefault="006774F4" w:rsidP="006774F4">
      <w:pPr>
        <w:rPr>
          <w:lang w:val="fr-FR"/>
        </w:rPr>
      </w:pPr>
      <w:r>
        <w:rPr>
          <w:lang w:val="fr-CA"/>
        </w:rPr>
        <w:t>Le Ministère gère un portefeuille immobilier de 28 milliards de dollars et ses propres auditeurs ont constaté que l’information utilisée pour planifier les travaux était incomplète et peu fiable. Des champs essentiels des dossiers d’entretien étaient vides : priorité de l’ordre de travail, description du problème et emplacement fonctionnel du bien concerné. L’affectation des ressources reposait en grande partie sur les niveaux de financement historiques plutôt que sur le risque.</w:t>
      </w:r>
    </w:p>
    <w:p w14:paraId="7B2A89BA" w14:textId="77777777" w:rsidR="006774F4" w:rsidRPr="006774F4" w:rsidRDefault="006774F4" w:rsidP="006774F4">
      <w:pPr>
        <w:rPr>
          <w:lang w:val="fr-FR"/>
        </w:rPr>
      </w:pPr>
      <w:r>
        <w:rPr>
          <w:lang w:val="fr-CA"/>
        </w:rPr>
        <w:t xml:space="preserve">Les trois autres dimensions s’ajoutent ensuite. Les ententes sur les niveaux de service n’ont pas été revues depuis leur approbation initiale : c’est la dimension </w:t>
      </w:r>
      <w:proofErr w:type="spellStart"/>
      <w:r>
        <w:rPr>
          <w:lang w:val="fr-CA"/>
        </w:rPr>
        <w:t>Contracts</w:t>
      </w:r>
      <w:proofErr w:type="spellEnd"/>
      <w:r>
        <w:rPr>
          <w:lang w:val="fr-CA"/>
        </w:rPr>
        <w:t>. Les détachements des Opérations immobilières présentent un écart de capacité de prestation : c’est la dimension People. Enfin, les pratiques visant à assurer la conformité en matière de santé et de sécurité sont incohérentes : c’est la dimension Process. Un portefeuille, cinq types de défaillances, tous en amont des bâtiments eux-mêmes.</w:t>
      </w:r>
    </w:p>
    <w:p w14:paraId="29F29AF5" w14:textId="77777777" w:rsidR="006774F4" w:rsidRDefault="006774F4" w:rsidP="006774F4">
      <w:pPr>
        <w:pStyle w:val="Heading2"/>
      </w:pPr>
      <w:bookmarkStart w:id="154" w:name="__RefHeading___Toc4927_3048004937"/>
      <w:bookmarkStart w:id="155" w:name="_Toc239750720"/>
      <w:bookmarkEnd w:id="154"/>
      <w:r>
        <w:rPr>
          <w:lang w:val="fr-CA"/>
        </w:rPr>
        <w:t>Constats du rapport</w:t>
      </w:r>
      <w:bookmarkEnd w:id="155"/>
    </w:p>
    <w:p w14:paraId="5B2F828B"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t>l’information</w:t>
      </w:r>
      <w:proofErr w:type="gramEnd"/>
      <w:r>
        <w:rPr>
          <w:sz w:val="21"/>
          <w:szCs w:val="21"/>
          <w:lang w:val="fr-CA"/>
        </w:rPr>
        <w:t xml:space="preserve"> utilisée pour éclairer la planification et l’analyse des besoins est incomplète et peu fiable</w:t>
      </w:r>
    </w:p>
    <w:p w14:paraId="48AFEAA8"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t>des</w:t>
      </w:r>
      <w:proofErr w:type="gramEnd"/>
      <w:r>
        <w:rPr>
          <w:sz w:val="21"/>
          <w:szCs w:val="21"/>
          <w:lang w:val="fr-CA"/>
        </w:rPr>
        <w:t xml:space="preserve"> champs de données essentiels, notamment la priorité de l’ordre de travail, la description du problème et l’emplacement fonctionnel du bien d’infrastructure, étaient vides</w:t>
      </w:r>
    </w:p>
    <w:p w14:paraId="1FCA18E8"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lastRenderedPageBreak/>
        <w:t>l’affectation</w:t>
      </w:r>
      <w:proofErr w:type="gramEnd"/>
      <w:r>
        <w:rPr>
          <w:sz w:val="21"/>
          <w:szCs w:val="21"/>
          <w:lang w:val="fr-CA"/>
        </w:rPr>
        <w:t xml:space="preserve"> des ressources repose en grande partie sur les niveaux de financement historiques</w:t>
      </w:r>
    </w:p>
    <w:p w14:paraId="272A4902"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t>écart</w:t>
      </w:r>
      <w:proofErr w:type="gramEnd"/>
      <w:r>
        <w:rPr>
          <w:sz w:val="21"/>
          <w:szCs w:val="21"/>
          <w:lang w:val="fr-CA"/>
        </w:rPr>
        <w:t xml:space="preserve"> de capacité de prestation au sein des détachements des Opérations immobilières</w:t>
      </w:r>
    </w:p>
    <w:p w14:paraId="1C3FAB91"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ententes sur les niveaux de service n’ont pas été examinées ni mises à jour depuis leur approbation initiale</w:t>
      </w:r>
    </w:p>
    <w:p w14:paraId="51A5AB59" w14:textId="77777777" w:rsidR="006774F4" w:rsidRPr="006774F4" w:rsidRDefault="006774F4" w:rsidP="006774F4">
      <w:pPr>
        <w:pStyle w:val="ListParagraph"/>
        <w:numPr>
          <w:ilvl w:val="0"/>
          <w:numId w:val="7"/>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pratiques visant à assurer la conformité en matière de santé et de sécurité sont incohérentes</w:t>
      </w:r>
    </w:p>
    <w:p w14:paraId="5BAB4EB8" w14:textId="77777777" w:rsidR="006774F4" w:rsidRDefault="006774F4" w:rsidP="006774F4">
      <w:pPr>
        <w:pStyle w:val="Heading2"/>
        <w:rPr>
          <w:highlight w:val="yellow"/>
        </w:rPr>
      </w:pPr>
      <w:bookmarkStart w:id="156" w:name="__RefHeading___Toc4929_3048004937"/>
      <w:bookmarkEnd w:id="156"/>
      <w:r>
        <w:rPr>
          <w:highlight w:val="yellow"/>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55"/>
        <w:gridCol w:w="2485"/>
      </w:tblGrid>
      <w:tr w:rsidR="006774F4" w14:paraId="529AFF4D" w14:textId="77777777" w:rsidTr="00AA5586">
        <w:trPr>
          <w:cantSplit/>
          <w:tblHeader/>
        </w:trPr>
        <w:tc>
          <w:tcPr>
            <w:tcW w:w="900" w:type="dxa"/>
            <w:tcBorders>
              <w:bottom w:val="single" w:sz="4" w:space="0" w:color="000000"/>
            </w:tcBorders>
            <w:shd w:val="clear" w:color="auto" w:fill="1B3A6B"/>
          </w:tcPr>
          <w:p w14:paraId="55F7DD6E"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tcBorders>
              <w:bottom w:val="single" w:sz="4" w:space="0" w:color="000000"/>
            </w:tcBorders>
            <w:shd w:val="clear" w:color="auto" w:fill="1B3A6B"/>
          </w:tcPr>
          <w:p w14:paraId="20F6B714" w14:textId="77777777" w:rsidR="006774F4" w:rsidRDefault="006774F4" w:rsidP="00AA5586">
            <w:pPr>
              <w:spacing w:after="0" w:line="254" w:lineRule="auto"/>
              <w:jc w:val="center"/>
            </w:pPr>
            <w:r>
              <w:rPr>
                <w:b/>
                <w:bCs/>
                <w:caps/>
                <w:color w:val="FFFFFF"/>
                <w:spacing w:val="16"/>
                <w:sz w:val="18"/>
                <w:szCs w:val="18"/>
                <w:lang w:val="fr-CA"/>
              </w:rPr>
              <w:t>Cause</w:t>
            </w:r>
          </w:p>
        </w:tc>
        <w:tc>
          <w:tcPr>
            <w:tcW w:w="1755" w:type="dxa"/>
            <w:tcBorders>
              <w:bottom w:val="single" w:sz="4" w:space="0" w:color="000000"/>
            </w:tcBorders>
            <w:shd w:val="clear" w:color="auto" w:fill="1B3A6B"/>
          </w:tcPr>
          <w:p w14:paraId="33DA463E"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485" w:type="dxa"/>
            <w:tcBorders>
              <w:bottom w:val="single" w:sz="4" w:space="0" w:color="000000"/>
            </w:tcBorders>
            <w:shd w:val="clear" w:color="auto" w:fill="1B3A6B"/>
          </w:tcPr>
          <w:p w14:paraId="57C59968"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1CF971D9"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41029E"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0E327B"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7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B34C4F" w14:textId="77777777" w:rsidR="006774F4" w:rsidRDefault="006774F4" w:rsidP="00AA5586">
            <w:pPr>
              <w:spacing w:after="0" w:line="254" w:lineRule="auto"/>
              <w:jc w:val="center"/>
            </w:pPr>
            <w:r>
              <w:rPr>
                <w:b/>
                <w:bCs/>
                <w:color w:val="B85C30"/>
                <w:sz w:val="18"/>
                <w:szCs w:val="18"/>
                <w:lang w:val="fr-CA"/>
              </w:rPr>
              <w:t>29,1 %</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83524E" w14:textId="77777777" w:rsidR="006774F4" w:rsidRDefault="006774F4" w:rsidP="00AA5586">
            <w:pPr>
              <w:spacing w:after="0" w:line="254" w:lineRule="auto"/>
              <w:jc w:val="center"/>
            </w:pPr>
            <w:r>
              <w:rPr>
                <w:sz w:val="18"/>
                <w:szCs w:val="18"/>
              </w:rPr>
              <w:t>Technology</w:t>
            </w:r>
          </w:p>
        </w:tc>
      </w:tr>
      <w:tr w:rsidR="006774F4" w14:paraId="6BC56D9D"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89160CF"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C3BA9E8"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75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7F218C6" w14:textId="77777777" w:rsidR="006774F4" w:rsidRDefault="006774F4" w:rsidP="00AA5586">
            <w:pPr>
              <w:spacing w:after="0" w:line="254" w:lineRule="auto"/>
              <w:jc w:val="center"/>
            </w:pPr>
            <w:r>
              <w:rPr>
                <w:b/>
                <w:bCs/>
                <w:color w:val="B85C30"/>
                <w:sz w:val="18"/>
                <w:szCs w:val="18"/>
                <w:lang w:val="fr-CA"/>
              </w:rPr>
              <w:t>22,7 %</w:t>
            </w:r>
          </w:p>
        </w:tc>
        <w:tc>
          <w:tcPr>
            <w:tcW w:w="248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AD488F" w14:textId="77777777" w:rsidR="006774F4" w:rsidRDefault="006774F4" w:rsidP="00AA5586">
            <w:pPr>
              <w:spacing w:after="0" w:line="254" w:lineRule="auto"/>
              <w:jc w:val="center"/>
            </w:pPr>
            <w:r>
              <w:rPr>
                <w:sz w:val="18"/>
                <w:szCs w:val="18"/>
              </w:rPr>
              <w:t>Contracts</w:t>
            </w:r>
          </w:p>
        </w:tc>
      </w:tr>
      <w:tr w:rsidR="006774F4" w14:paraId="363F8701"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0B0DCF"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1D75B9"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7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3A0489" w14:textId="77777777" w:rsidR="006774F4" w:rsidRDefault="006774F4" w:rsidP="00AA5586">
            <w:pPr>
              <w:spacing w:after="0" w:line="254" w:lineRule="auto"/>
              <w:jc w:val="center"/>
            </w:pPr>
            <w:r>
              <w:rPr>
                <w:b/>
                <w:bCs/>
                <w:color w:val="B85C30"/>
                <w:sz w:val="18"/>
                <w:szCs w:val="18"/>
                <w:lang w:val="fr-CA"/>
              </w:rPr>
              <w:t>34,5 %</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CCDCCE" w14:textId="77777777" w:rsidR="006774F4" w:rsidRDefault="006774F4" w:rsidP="00AA5586">
            <w:pPr>
              <w:spacing w:after="0" w:line="254" w:lineRule="auto"/>
              <w:jc w:val="center"/>
            </w:pPr>
            <w:r>
              <w:rPr>
                <w:sz w:val="18"/>
                <w:szCs w:val="18"/>
              </w:rPr>
              <w:t>Governance</w:t>
            </w:r>
          </w:p>
        </w:tc>
      </w:tr>
      <w:tr w:rsidR="006774F4" w14:paraId="2F9CF637"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E2B05BC" w14:textId="77777777" w:rsidR="006774F4" w:rsidRDefault="006774F4" w:rsidP="00AA5586">
            <w:pPr>
              <w:spacing w:after="0" w:line="254" w:lineRule="auto"/>
              <w:jc w:val="center"/>
            </w:pPr>
            <w:r>
              <w:rPr>
                <w:b/>
                <w:bCs/>
                <w:sz w:val="18"/>
                <w:szCs w:val="18"/>
              </w:rPr>
              <w:t>C13</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387C502" w14:textId="77777777" w:rsidR="006774F4" w:rsidRPr="006774F4" w:rsidRDefault="006774F4" w:rsidP="00AA5586">
            <w:pPr>
              <w:spacing w:after="0" w:line="254" w:lineRule="auto"/>
              <w:rPr>
                <w:lang w:val="fr-FR"/>
              </w:rPr>
            </w:pPr>
            <w:r>
              <w:rPr>
                <w:sz w:val="18"/>
                <w:szCs w:val="18"/>
                <w:lang w:val="fr-CA"/>
              </w:rPr>
              <w:t>Écart de capacité ou de compétences</w:t>
            </w:r>
          </w:p>
        </w:tc>
        <w:tc>
          <w:tcPr>
            <w:tcW w:w="175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A9D8AAF" w14:textId="77777777" w:rsidR="006774F4" w:rsidRDefault="006774F4" w:rsidP="00AA5586">
            <w:pPr>
              <w:spacing w:after="0" w:line="254" w:lineRule="auto"/>
              <w:jc w:val="center"/>
            </w:pPr>
            <w:r>
              <w:rPr>
                <w:b/>
                <w:bCs/>
                <w:color w:val="B85C30"/>
                <w:sz w:val="18"/>
                <w:szCs w:val="18"/>
                <w:lang w:val="fr-CA"/>
              </w:rPr>
              <w:t>7,3 %</w:t>
            </w:r>
          </w:p>
        </w:tc>
        <w:tc>
          <w:tcPr>
            <w:tcW w:w="248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8DE34D0" w14:textId="77777777" w:rsidR="006774F4" w:rsidRDefault="006774F4" w:rsidP="00AA5586">
            <w:pPr>
              <w:spacing w:after="0" w:line="254" w:lineRule="auto"/>
              <w:jc w:val="center"/>
            </w:pPr>
            <w:r>
              <w:rPr>
                <w:sz w:val="18"/>
                <w:szCs w:val="18"/>
              </w:rPr>
              <w:t>People</w:t>
            </w:r>
          </w:p>
        </w:tc>
      </w:tr>
      <w:tr w:rsidR="006774F4" w14:paraId="54585E5C"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9E6FFA" w14:textId="77777777" w:rsidR="006774F4" w:rsidRDefault="006774F4" w:rsidP="00AA5586">
            <w:pPr>
              <w:spacing w:after="0" w:line="254" w:lineRule="auto"/>
              <w:jc w:val="center"/>
            </w:pPr>
            <w:r>
              <w:rPr>
                <w:b/>
                <w:bCs/>
                <w:sz w:val="18"/>
                <w:szCs w:val="18"/>
              </w:rPr>
              <w:t>C14</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3A950C" w14:textId="77777777" w:rsidR="006774F4" w:rsidRPr="006774F4" w:rsidRDefault="006774F4" w:rsidP="00AA5586">
            <w:pPr>
              <w:spacing w:after="0" w:line="254" w:lineRule="auto"/>
              <w:rPr>
                <w:lang w:val="fr-FR"/>
              </w:rPr>
            </w:pPr>
            <w:r>
              <w:rPr>
                <w:sz w:val="18"/>
                <w:szCs w:val="18"/>
                <w:lang w:val="fr-CA"/>
              </w:rPr>
              <w:t>Défaillance de l’assurance qualité, de l’inspection ou de la mise en service</w:t>
            </w:r>
          </w:p>
        </w:tc>
        <w:tc>
          <w:tcPr>
            <w:tcW w:w="17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74D549" w14:textId="77777777" w:rsidR="006774F4" w:rsidRDefault="006774F4" w:rsidP="00AA5586">
            <w:pPr>
              <w:spacing w:after="0" w:line="254" w:lineRule="auto"/>
              <w:jc w:val="center"/>
            </w:pPr>
            <w:r>
              <w:rPr>
                <w:b/>
                <w:bCs/>
                <w:color w:val="B85C30"/>
                <w:sz w:val="18"/>
                <w:szCs w:val="18"/>
                <w:lang w:val="fr-CA"/>
              </w:rPr>
              <w:t>10,9 %</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2728E4" w14:textId="77777777" w:rsidR="006774F4" w:rsidRDefault="006774F4" w:rsidP="00AA5586">
            <w:pPr>
              <w:spacing w:after="0" w:line="254" w:lineRule="auto"/>
              <w:jc w:val="center"/>
            </w:pPr>
            <w:r>
              <w:rPr>
                <w:sz w:val="18"/>
                <w:szCs w:val="18"/>
              </w:rPr>
              <w:t>Process</w:t>
            </w:r>
          </w:p>
        </w:tc>
      </w:tr>
    </w:tbl>
    <w:p w14:paraId="5D28DDB7" w14:textId="77777777" w:rsidR="006774F4" w:rsidRPr="006774F4" w:rsidRDefault="006774F4" w:rsidP="006774F4">
      <w:pPr>
        <w:pStyle w:val="Heading2"/>
        <w:rPr>
          <w:lang w:val="fr-FR"/>
        </w:rPr>
      </w:pPr>
      <w:bookmarkStart w:id="157" w:name="__RefHeading___Toc4931_3048004937"/>
      <w:bookmarkStart w:id="158" w:name="_Toc239750722"/>
      <w:bookmarkEnd w:id="157"/>
      <w:r>
        <w:rPr>
          <w:lang w:val="fr-CA"/>
        </w:rPr>
        <w:t xml:space="preserve">Ce qu’une intervention de Clarity </w:t>
      </w:r>
      <w:proofErr w:type="spellStart"/>
      <w:r>
        <w:rPr>
          <w:lang w:val="fr-CA"/>
        </w:rPr>
        <w:t>Builders</w:t>
      </w:r>
      <w:proofErr w:type="spellEnd"/>
      <w:r>
        <w:rPr>
          <w:lang w:val="fr-CA"/>
        </w:rPr>
        <w:t xml:space="preserve"> aurait permis d’aborder</w:t>
      </w:r>
      <w:bookmarkEnd w:id="158"/>
    </w:p>
    <w:p w14:paraId="03CE9DB6" w14:textId="77777777" w:rsidR="006774F4" w:rsidRDefault="006774F4" w:rsidP="006774F4">
      <w:pPr>
        <w:pStyle w:val="ListParagraph"/>
        <w:numPr>
          <w:ilvl w:val="0"/>
          <w:numId w:val="10"/>
        </w:numPr>
        <w:spacing w:after="100" w:line="276" w:lineRule="auto"/>
        <w:contextualSpacing w:val="0"/>
        <w:rPr>
          <w:sz w:val="21"/>
          <w:szCs w:val="21"/>
        </w:rPr>
      </w:pPr>
      <w:r>
        <w:rPr>
          <w:b/>
          <w:bCs/>
          <w:color w:val="1B3A6B"/>
          <w:sz w:val="21"/>
          <w:szCs w:val="21"/>
          <w:lang w:val="fr-CA"/>
        </w:rPr>
        <w:t xml:space="preserve">5.5 Information management design.  </w:t>
      </w:r>
      <w:r>
        <w:rPr>
          <w:sz w:val="21"/>
          <w:szCs w:val="21"/>
          <w:lang w:val="fr-CA"/>
        </w:rPr>
        <w:t>Un champ d’emplacement fonctionnel vide signifie que le dossier ne permet pas de déterminer sur quel bien les travaux ont été réalisés. Tout ce qui suit repose alors sur des estimations.</w:t>
      </w:r>
    </w:p>
    <w:p w14:paraId="2884F5A2" w14:textId="77777777" w:rsidR="006774F4" w:rsidRPr="006774F4" w:rsidRDefault="006774F4" w:rsidP="006774F4">
      <w:pPr>
        <w:pStyle w:val="ListParagraph"/>
        <w:numPr>
          <w:ilvl w:val="0"/>
          <w:numId w:val="10"/>
        </w:numPr>
        <w:spacing w:after="100" w:line="276" w:lineRule="auto"/>
        <w:contextualSpacing w:val="0"/>
        <w:rPr>
          <w:sz w:val="21"/>
          <w:szCs w:val="21"/>
          <w:lang w:val="fr-FR"/>
        </w:rPr>
      </w:pPr>
      <w:r>
        <w:rPr>
          <w:b/>
          <w:bCs/>
          <w:color w:val="1B3A6B"/>
          <w:sz w:val="21"/>
          <w:szCs w:val="21"/>
          <w:lang w:val="fr-CA"/>
        </w:rPr>
        <w:t xml:space="preserve">5.6 </w:t>
      </w:r>
      <w:proofErr w:type="spellStart"/>
      <w:r>
        <w:rPr>
          <w:b/>
          <w:bCs/>
          <w:color w:val="1B3A6B"/>
          <w:sz w:val="21"/>
          <w:szCs w:val="21"/>
          <w:lang w:val="fr-CA"/>
        </w:rPr>
        <w:t>Supply-chain</w:t>
      </w:r>
      <w:proofErr w:type="spellEnd"/>
      <w:r>
        <w:rPr>
          <w:b/>
          <w:bCs/>
          <w:color w:val="1B3A6B"/>
          <w:sz w:val="21"/>
          <w:szCs w:val="21"/>
          <w:lang w:val="fr-CA"/>
        </w:rPr>
        <w:t xml:space="preserve"> </w:t>
      </w:r>
      <w:proofErr w:type="spellStart"/>
      <w:r>
        <w:rPr>
          <w:b/>
          <w:bCs/>
          <w:color w:val="1B3A6B"/>
          <w:sz w:val="21"/>
          <w:szCs w:val="21"/>
          <w:lang w:val="fr-CA"/>
        </w:rPr>
        <w:t>capability</w:t>
      </w:r>
      <w:proofErr w:type="spellEnd"/>
      <w:r>
        <w:rPr>
          <w:b/>
          <w:bCs/>
          <w:color w:val="1B3A6B"/>
          <w:sz w:val="21"/>
          <w:szCs w:val="21"/>
          <w:lang w:val="fr-CA"/>
        </w:rPr>
        <w:t xml:space="preserve">.  </w:t>
      </w:r>
      <w:r>
        <w:rPr>
          <w:sz w:val="21"/>
          <w:szCs w:val="21"/>
          <w:lang w:val="fr-CA"/>
        </w:rPr>
        <w:t>Des ententes sur les niveaux de service qui n’ont jamais été revues depuis leur approbation initiale sont des mécanismes de contrôle de la chaîne d’approvisionnement qui ont cessé de jouer leur rôle.</w:t>
      </w:r>
    </w:p>
    <w:p w14:paraId="0FD00944" w14:textId="77777777" w:rsidR="006774F4" w:rsidRDefault="006774F4" w:rsidP="006774F4">
      <w:pPr>
        <w:pStyle w:val="ListParagraph"/>
        <w:numPr>
          <w:ilvl w:val="0"/>
          <w:numId w:val="10"/>
        </w:numPr>
        <w:spacing w:after="100" w:line="276" w:lineRule="auto"/>
        <w:contextualSpacing w:val="0"/>
        <w:rPr>
          <w:sz w:val="21"/>
          <w:szCs w:val="21"/>
        </w:rPr>
      </w:pPr>
      <w:r>
        <w:rPr>
          <w:b/>
          <w:bCs/>
          <w:color w:val="1B3A6B"/>
          <w:sz w:val="21"/>
          <w:szCs w:val="21"/>
          <w:lang w:val="fr-CA"/>
        </w:rPr>
        <w:t xml:space="preserve">5.2 Digital </w:t>
      </w:r>
      <w:proofErr w:type="spellStart"/>
      <w:r>
        <w:rPr>
          <w:b/>
          <w:bCs/>
          <w:color w:val="1B3A6B"/>
          <w:sz w:val="21"/>
          <w:szCs w:val="21"/>
          <w:lang w:val="fr-CA"/>
        </w:rPr>
        <w:t>capability</w:t>
      </w:r>
      <w:proofErr w:type="spellEnd"/>
      <w:r>
        <w:rPr>
          <w:b/>
          <w:bCs/>
          <w:color w:val="1B3A6B"/>
          <w:sz w:val="21"/>
          <w:szCs w:val="21"/>
          <w:lang w:val="fr-CA"/>
        </w:rPr>
        <w:t xml:space="preserve"> </w:t>
      </w:r>
      <w:proofErr w:type="spellStart"/>
      <w:r>
        <w:rPr>
          <w:b/>
          <w:bCs/>
          <w:color w:val="1B3A6B"/>
          <w:sz w:val="21"/>
          <w:szCs w:val="21"/>
          <w:lang w:val="fr-CA"/>
        </w:rPr>
        <w:t>baseline</w:t>
      </w:r>
      <w:proofErr w:type="spellEnd"/>
      <w:r>
        <w:rPr>
          <w:b/>
          <w:bCs/>
          <w:color w:val="1B3A6B"/>
          <w:sz w:val="21"/>
          <w:szCs w:val="21"/>
          <w:lang w:val="fr-CA"/>
        </w:rPr>
        <w:t xml:space="preserve">.  </w:t>
      </w:r>
      <w:r>
        <w:rPr>
          <w:sz w:val="21"/>
          <w:szCs w:val="21"/>
          <w:lang w:val="fr-CA"/>
        </w:rPr>
        <w:t>Un écart explicite de capacité de prestation relève de la dimension People, un type de constat que les auditeurs soulèvent très rarement. Ce cas fait exception.</w:t>
      </w:r>
    </w:p>
    <w:p w14:paraId="3B003F22" w14:textId="77777777" w:rsidR="006774F4" w:rsidRPr="006774F4" w:rsidRDefault="006774F4" w:rsidP="006774F4">
      <w:pPr>
        <w:pStyle w:val="ListParagraph"/>
        <w:numPr>
          <w:ilvl w:val="0"/>
          <w:numId w:val="10"/>
        </w:numPr>
        <w:spacing w:after="100" w:line="276" w:lineRule="auto"/>
        <w:contextualSpacing w:val="0"/>
        <w:rPr>
          <w:sz w:val="21"/>
          <w:szCs w:val="21"/>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Affecter les ressources selon les niveaux de financement historiques plutôt que selon le risque est précisément le type de pratique que ce segment vise à mettre en évidence.</w:t>
      </w:r>
    </w:p>
    <w:p w14:paraId="1382D57E" w14:textId="77777777" w:rsidR="006774F4" w:rsidRPr="006774F4" w:rsidRDefault="006774F4" w:rsidP="006774F4">
      <w:pPr>
        <w:pStyle w:val="Heading2"/>
        <w:rPr>
          <w:lang w:val="fr-FR"/>
        </w:rPr>
      </w:pPr>
      <w:bookmarkStart w:id="159" w:name="__RefHeading___Toc4933_3048004937"/>
      <w:bookmarkStart w:id="160" w:name="_Toc239750723"/>
      <w:bookmarkEnd w:id="159"/>
      <w:r>
        <w:rPr>
          <w:lang w:val="fr-CA"/>
        </w:rPr>
        <w:t>Scénario illustratif</w:t>
      </w:r>
      <w:bookmarkEnd w:id="160"/>
    </w:p>
    <w:p w14:paraId="1D4509F5" w14:textId="77777777" w:rsidR="006774F4" w:rsidRPr="006774F4" w:rsidRDefault="006774F4" w:rsidP="006774F4">
      <w:pPr>
        <w:rPr>
          <w:lang w:val="fr-FR"/>
        </w:rPr>
      </w:pPr>
      <w:r>
        <w:rPr>
          <w:lang w:val="fr-CA"/>
        </w:rPr>
        <w:t>L’audit ne chiffre rien, ce qui est en soi révélateur pour un portefeuille de 28 milliards de dollars.</w:t>
      </w:r>
    </w:p>
    <w:p w14:paraId="7C9BC4E8" w14:textId="77777777" w:rsidR="006774F4" w:rsidRPr="006774F4" w:rsidRDefault="006774F4" w:rsidP="006774F4">
      <w:pPr>
        <w:keepNext/>
        <w:spacing w:after="50"/>
        <w:rPr>
          <w:lang w:val="fr-FR"/>
        </w:rPr>
      </w:pPr>
      <w:r>
        <w:rPr>
          <w:lang w:val="fr-CA"/>
        </w:rPr>
        <w:t xml:space="preserve">Le scénario illustratif porte sur l’étendue des problèmes plutôt que sur leur coût. À lui seul, ce cas présente des informations peu fiables sur les biens (29,1 %), une défaillance du modèle </w:t>
      </w:r>
      <w:r>
        <w:rPr>
          <w:lang w:val="fr-CA"/>
        </w:rPr>
        <w:lastRenderedPageBreak/>
        <w:t>contractuel (22,7 %), des coûts du cycle de vie non prévus (34,5 %), un écart de capacité (7,3 %) et une défaillance de l’assurance qualité (10,9 %). Le code lié à la capacité est le plus rare du registre : il n’apparaît que dans 8 des 110 rapports canadiens, parce que les auditeurs examinent généralement les systèmes plutôt que les équipes. Lorsqu’il apparaît, il mérite une attention particulière.</w:t>
      </w:r>
    </w:p>
    <w:p w14:paraId="7EDDEE5D" w14:textId="77777777" w:rsidR="006774F4" w:rsidRPr="006774F4" w:rsidRDefault="006774F4" w:rsidP="006774F4">
      <w:pPr>
        <w:pStyle w:val="Heading2"/>
        <w:spacing w:after="50"/>
        <w:rPr>
          <w:lang w:val="fr-FR"/>
        </w:rPr>
      </w:pPr>
      <w:bookmarkStart w:id="161" w:name="__RefHeading___Toc4935_3048004937"/>
      <w:bookmarkEnd w:id="161"/>
      <w:r>
        <w:rPr>
          <w:lang w:val="fr-CA"/>
        </w:rPr>
        <w:t>Contrefactuel</w:t>
      </w:r>
    </w:p>
    <w:p w14:paraId="230E702E"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les infrastructures de la Défense sont défaillantes. Il s’agit d’un audit sur la planification et l’information, et non d’une évaluation de l’état des infrastructures.</w:t>
      </w:r>
    </w:p>
    <w:p w14:paraId="7BF25B11"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 propriétaire qui affecte ses budgets d’entretien selon les niveaux de financement historiques, à partir de dossiers où le champ indiquant l’emplacement du bien est vide, ne peut orienter les fonds avec certitude vers les besoins les plus importants ni démontrer après coup qu’il l’a fait.</w:t>
      </w:r>
    </w:p>
    <w:p w14:paraId="1B9C8A86" w14:textId="77777777" w:rsidR="006774F4" w:rsidRPr="006774F4" w:rsidRDefault="006774F4" w:rsidP="006774F4">
      <w:pPr>
        <w:pStyle w:val="Heading1"/>
        <w:spacing w:before="380" w:after="170"/>
        <w:rPr>
          <w:b/>
          <w:bCs/>
          <w:color w:val="1B3A6B"/>
          <w:sz w:val="28"/>
          <w:szCs w:val="28"/>
          <w:lang w:val="fr-FR"/>
        </w:rPr>
      </w:pPr>
      <w:bookmarkStart w:id="162" w:name="__RefHeading___Toc4937_3048004937"/>
      <w:bookmarkStart w:id="163" w:name="_Toc239750724"/>
      <w:bookmarkEnd w:id="162"/>
      <w:r>
        <w:rPr>
          <w:b/>
          <w:bCs/>
          <w:color w:val="1B3A6B"/>
          <w:sz w:val="28"/>
          <w:szCs w:val="28"/>
          <w:lang w:val="fr-CA"/>
        </w:rPr>
        <w:t>Cas 13.  Muskrat Falls</w:t>
      </w:r>
      <w:bookmarkEnd w:id="163"/>
    </w:p>
    <w:p w14:paraId="5F7AE728" w14:textId="77777777" w:rsidR="006774F4" w:rsidRPr="006774F4" w:rsidRDefault="006774F4" w:rsidP="006774F4">
      <w:pPr>
        <w:spacing w:after="150" w:line="290" w:lineRule="auto"/>
        <w:rPr>
          <w:b/>
          <w:bCs/>
          <w:color w:val="C45911" w:themeColor="accent2" w:themeShade="BF"/>
          <w:lang w:val="fr-FR"/>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158E8646" w14:textId="77777777" w:rsidTr="00AA5586">
        <w:trPr>
          <w:cantSplit/>
        </w:trPr>
        <w:tc>
          <w:tcPr>
            <w:tcW w:w="2700" w:type="dxa"/>
            <w:tcBorders>
              <w:bottom w:val="single" w:sz="4" w:space="0" w:color="000000"/>
            </w:tcBorders>
            <w:shd w:val="clear" w:color="auto" w:fill="E2E8F0"/>
            <w:vAlign w:val="center"/>
          </w:tcPr>
          <w:p w14:paraId="0902D761"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4D0D62A7" w14:textId="77777777" w:rsidR="006774F4" w:rsidRDefault="006774F4" w:rsidP="00AA5586">
            <w:pPr>
              <w:spacing w:after="0" w:line="254" w:lineRule="auto"/>
              <w:jc w:val="center"/>
              <w:rPr>
                <w:b/>
                <w:bCs/>
                <w:sz w:val="19"/>
                <w:szCs w:val="19"/>
              </w:rPr>
            </w:pPr>
            <w:r>
              <w:rPr>
                <w:b/>
                <w:bCs/>
                <w:sz w:val="19"/>
                <w:szCs w:val="19"/>
              </w:rPr>
              <w:t>Muskrat Falls</w:t>
            </w:r>
          </w:p>
        </w:tc>
      </w:tr>
      <w:tr w:rsidR="006774F4" w:rsidRPr="007B50E3" w14:paraId="289E5FF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7C1EA99"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551A7C8" w14:textId="77777777" w:rsidR="006774F4" w:rsidRPr="006774F4" w:rsidRDefault="006774F4" w:rsidP="00AA5586">
            <w:pPr>
              <w:spacing w:after="0" w:line="254" w:lineRule="auto"/>
              <w:rPr>
                <w:lang w:val="fr-FR"/>
              </w:rPr>
            </w:pPr>
            <w:r>
              <w:rPr>
                <w:sz w:val="19"/>
                <w:szCs w:val="19"/>
                <w:lang w:val="fr-CA"/>
              </w:rPr>
              <w:t>Terre-Neuve-et-</w:t>
            </w:r>
            <w:proofErr w:type="gramStart"/>
            <w:r>
              <w:rPr>
                <w:sz w:val="19"/>
                <w:szCs w:val="19"/>
                <w:lang w:val="fr-CA"/>
              </w:rPr>
              <w:t>Labrador  ·</w:t>
            </w:r>
            <w:proofErr w:type="gramEnd"/>
            <w:r>
              <w:rPr>
                <w:sz w:val="19"/>
                <w:szCs w:val="19"/>
                <w:lang w:val="fr-CA"/>
              </w:rPr>
              <w:t xml:space="preserve">  Commission d’enquête judiciaire</w:t>
            </w:r>
          </w:p>
        </w:tc>
      </w:tr>
      <w:tr w:rsidR="006774F4" w:rsidRPr="006774F4" w14:paraId="438A773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ED4B5C3"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14DDFAB" w14:textId="77777777" w:rsidR="006774F4" w:rsidRPr="006774F4" w:rsidRDefault="006774F4" w:rsidP="00AA5586">
            <w:pPr>
              <w:spacing w:after="0" w:line="254" w:lineRule="auto"/>
              <w:rPr>
                <w:lang w:val="fr-FR"/>
              </w:rPr>
            </w:pPr>
            <w:r>
              <w:rPr>
                <w:sz w:val="19"/>
                <w:szCs w:val="19"/>
                <w:lang w:val="fr-CA"/>
              </w:rPr>
              <w:t xml:space="preserve">Commission d’enquête sur le projet Muskrat Falls, commissaire Richard D. </w:t>
            </w:r>
            <w:proofErr w:type="spellStart"/>
            <w:r>
              <w:rPr>
                <w:sz w:val="19"/>
                <w:szCs w:val="19"/>
                <w:lang w:val="fr-CA"/>
              </w:rPr>
              <w:t>LeBlanc</w:t>
            </w:r>
            <w:proofErr w:type="spellEnd"/>
          </w:p>
        </w:tc>
      </w:tr>
      <w:tr w:rsidR="006774F4" w:rsidRPr="006774F4" w14:paraId="624FBCC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20B6500"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A2E6E70" w14:textId="77777777" w:rsidR="006774F4" w:rsidRPr="006774F4" w:rsidRDefault="006774F4" w:rsidP="00AA5586">
            <w:pPr>
              <w:spacing w:after="0" w:line="254" w:lineRule="auto"/>
              <w:rPr>
                <w:lang w:val="fr-FR"/>
              </w:rPr>
            </w:pPr>
            <w:r>
              <w:rPr>
                <w:sz w:val="19"/>
                <w:szCs w:val="19"/>
                <w:lang w:val="fr-CA"/>
              </w:rPr>
              <w:t>Commission d’enquête sur le projet Muskrat Falls — Rapport final, volume 1, 2020</w:t>
            </w:r>
          </w:p>
        </w:tc>
      </w:tr>
      <w:tr w:rsidR="006774F4" w14:paraId="26B7BA4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80A8633"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CB0CD3" w14:textId="77777777" w:rsidR="006774F4" w:rsidRDefault="006774F4" w:rsidP="00AA5586">
            <w:pPr>
              <w:spacing w:after="0" w:line="254" w:lineRule="auto"/>
            </w:pPr>
            <w:r>
              <w:rPr>
                <w:sz w:val="19"/>
                <w:szCs w:val="19"/>
                <w:lang w:val="fr-CA"/>
              </w:rPr>
              <w:t>Production et transport d’énergie</w:t>
            </w:r>
          </w:p>
        </w:tc>
      </w:tr>
      <w:tr w:rsidR="006774F4" w:rsidRPr="006774F4" w14:paraId="3F4B2B2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171A4B5"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FC8A413" w14:textId="77777777" w:rsidR="006774F4" w:rsidRPr="006774F4" w:rsidRDefault="006774F4" w:rsidP="00AA5586">
            <w:pPr>
              <w:spacing w:after="0" w:line="254" w:lineRule="auto"/>
              <w:rPr>
                <w:lang w:val="fr-FR"/>
              </w:rPr>
            </w:pPr>
            <w:r>
              <w:rPr>
                <w:sz w:val="19"/>
                <w:szCs w:val="19"/>
                <w:lang w:val="fr-CA"/>
              </w:rPr>
              <w:t>6,2 milliards de dollars, plus 1,2 milliard de frais de financement, au moment de l’autorisation en décembre 2012</w:t>
            </w:r>
          </w:p>
        </w:tc>
      </w:tr>
      <w:tr w:rsidR="006774F4" w:rsidRPr="006774F4" w14:paraId="5AD0C2B1"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1C3E84A"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3B3264B" w14:textId="77777777" w:rsidR="006774F4" w:rsidRPr="006774F4" w:rsidRDefault="006774F4" w:rsidP="00AA5586">
            <w:pPr>
              <w:spacing w:after="0" w:line="254" w:lineRule="auto"/>
              <w:rPr>
                <w:lang w:val="fr-FR"/>
              </w:rPr>
            </w:pPr>
            <w:r>
              <w:rPr>
                <w:sz w:val="19"/>
                <w:szCs w:val="19"/>
                <w:lang w:val="fr-CA"/>
              </w:rPr>
              <w:t>Dépassement d’environ 63 % des coûts en capital : de 6,2 à 10,1 milliards de dollars, et 12,7 milliards en incluant 2,6 milliards de frais de financement</w:t>
            </w:r>
          </w:p>
        </w:tc>
      </w:tr>
      <w:tr w:rsidR="006774F4" w:rsidRPr="006774F4" w14:paraId="3E8917F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5C9EA07"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E23CD54" w14:textId="77777777" w:rsidR="006774F4" w:rsidRPr="006774F4" w:rsidRDefault="006774F4" w:rsidP="00AA5586">
            <w:pPr>
              <w:spacing w:after="0" w:line="254" w:lineRule="auto"/>
              <w:rPr>
                <w:lang w:val="fr-FR"/>
              </w:rPr>
            </w:pPr>
            <w:r>
              <w:rPr>
                <w:sz w:val="19"/>
                <w:szCs w:val="19"/>
                <w:lang w:val="fr-CA"/>
              </w:rPr>
              <w:t>Les mises à jour des autorisations de dépenses sont passées à 6,99 milliards de dollars en juin 2014, 7,65 milliards en septembre 2015, 9,1 milliards en juin 2016 et 9,4 milliards en décembre 2016</w:t>
            </w:r>
          </w:p>
        </w:tc>
      </w:tr>
      <w:tr w:rsidR="006774F4" w14:paraId="10DB2A6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C69095E"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991C2F" w14:textId="77777777" w:rsidR="006774F4" w:rsidRDefault="006774F4" w:rsidP="00AA5586">
            <w:pPr>
              <w:spacing w:after="0" w:line="254" w:lineRule="auto"/>
            </w:pPr>
            <w:r>
              <w:rPr>
                <w:sz w:val="19"/>
                <w:szCs w:val="19"/>
              </w:rPr>
              <w:t>C01, C02, C05, C13, C15</w:t>
            </w:r>
          </w:p>
        </w:tc>
      </w:tr>
      <w:tr w:rsidR="006774F4" w14:paraId="19E3E51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2F606B6"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36C396C" w14:textId="77777777" w:rsidR="006774F4" w:rsidRDefault="006774F4" w:rsidP="00AA5586">
            <w:pPr>
              <w:spacing w:after="0" w:line="254" w:lineRule="auto"/>
              <w:rPr>
                <w:color w:val="auto"/>
                <w:sz w:val="19"/>
                <w:szCs w:val="19"/>
              </w:rPr>
            </w:pPr>
            <w:r>
              <w:rPr>
                <w:color w:val="auto"/>
                <w:sz w:val="19"/>
                <w:szCs w:val="19"/>
              </w:rPr>
              <w:t>Governance, People, Process</w:t>
            </w:r>
          </w:p>
        </w:tc>
      </w:tr>
    </w:tbl>
    <w:p w14:paraId="56D94D32" w14:textId="77777777" w:rsidR="006774F4" w:rsidRDefault="006774F4" w:rsidP="006774F4">
      <w:pPr>
        <w:pStyle w:val="Heading2"/>
      </w:pPr>
      <w:bookmarkStart w:id="164" w:name="__RefHeading___Toc4939_3048004937"/>
      <w:bookmarkStart w:id="165" w:name="_Toc239750725"/>
      <w:bookmarkEnd w:id="164"/>
      <w:r>
        <w:rPr>
          <w:lang w:val="fr-CA"/>
        </w:rPr>
        <w:t>Ce qui s’est passé</w:t>
      </w:r>
      <w:bookmarkEnd w:id="165"/>
    </w:p>
    <w:p w14:paraId="697351D3" w14:textId="77777777" w:rsidR="006774F4" w:rsidRPr="006774F4" w:rsidRDefault="006774F4" w:rsidP="006774F4">
      <w:pPr>
        <w:rPr>
          <w:lang w:val="fr-FR"/>
        </w:rPr>
      </w:pPr>
      <w:r>
        <w:rPr>
          <w:lang w:val="fr-CA"/>
        </w:rPr>
        <w:t xml:space="preserve">Muskrat Falls est le plus important échec présenté dans ce livre et le projet qui a fait l’objet du plus grand nombre d’analyses. Le constat central du commissaire ne porte pas sur l’ingénierie. Il est que le gouvernement avait, dans les faits, déjà décidé que le projet irait de </w:t>
      </w:r>
      <w:r>
        <w:rPr>
          <w:lang w:val="fr-CA"/>
        </w:rPr>
        <w:lastRenderedPageBreak/>
        <w:t>l’avant, puis s’est révélé incapable d’exercer une surveillance adéquate sur l’entité chargée de le réaliser.</w:t>
      </w:r>
    </w:p>
    <w:p w14:paraId="0817039E" w14:textId="77777777" w:rsidR="006774F4" w:rsidRPr="006774F4" w:rsidRDefault="006774F4" w:rsidP="006774F4">
      <w:pPr>
        <w:rPr>
          <w:lang w:val="fr-FR"/>
        </w:rPr>
      </w:pPr>
      <w:r>
        <w:rPr>
          <w:lang w:val="fr-CA"/>
        </w:rPr>
        <w:t xml:space="preserve">Selon les propres termes du commissaire, l’estimation était fragile. L’estimation de base n’était « pas de la plus haute qualité », </w:t>
      </w:r>
      <w:proofErr w:type="spellStart"/>
      <w:r>
        <w:rPr>
          <w:lang w:val="fr-CA"/>
        </w:rPr>
        <w:t>Nalcor</w:t>
      </w:r>
      <w:proofErr w:type="spellEnd"/>
      <w:r>
        <w:rPr>
          <w:lang w:val="fr-CA"/>
        </w:rPr>
        <w:t xml:space="preserve"> avait réduit d’environ 379 millions de dollars les estimations de l’ingénieur, et la provision pour éventualités, fixée à 6,7 % de l’estimation de base, était jugée « déraisonnablement faible ». À la dernière étape décisionnelle, </w:t>
      </w:r>
      <w:proofErr w:type="spellStart"/>
      <w:r>
        <w:rPr>
          <w:lang w:val="fr-CA"/>
        </w:rPr>
        <w:t>Nalcor</w:t>
      </w:r>
      <w:proofErr w:type="spellEnd"/>
      <w:r>
        <w:rPr>
          <w:lang w:val="fr-CA"/>
        </w:rPr>
        <w:t xml:space="preserve"> n’a quantifié que quatre risques stratégiques, en écartant 29 risques déjà relevés.</w:t>
      </w:r>
    </w:p>
    <w:p w14:paraId="75F27074" w14:textId="77777777" w:rsidR="006774F4" w:rsidRPr="006774F4" w:rsidRDefault="006774F4" w:rsidP="006774F4">
      <w:pPr>
        <w:rPr>
          <w:lang w:val="fr-FR"/>
        </w:rPr>
      </w:pPr>
      <w:r>
        <w:rPr>
          <w:lang w:val="fr-CA"/>
        </w:rPr>
        <w:t xml:space="preserve">Puis l’information a cessé de circuler. Des rapports Management Outlook faisaient état d’augmentations de coûts de 600 et 800 millions de dollars, mais cette information n’a été communiquée ni au gouvernement ni au conseil d’administration de </w:t>
      </w:r>
      <w:proofErr w:type="spellStart"/>
      <w:r>
        <w:rPr>
          <w:lang w:val="fr-CA"/>
        </w:rPr>
        <w:t>Nalcor</w:t>
      </w:r>
      <w:proofErr w:type="spellEnd"/>
      <w:r>
        <w:rPr>
          <w:lang w:val="fr-CA"/>
        </w:rPr>
        <w:t xml:space="preserve"> avant la clôture financière. Le mécanisme d’assurance censé permettre de détecter ce type de problème a lui-même été mal compris : selon les mots du commissaire, se fier à l’ingénieur indépendant sans comprendre la portée limitée de son mandat était « clairement erroné, malavisé et déraisonnable ».</w:t>
      </w:r>
    </w:p>
    <w:p w14:paraId="70D10AD9" w14:textId="77777777" w:rsidR="006774F4" w:rsidRDefault="006774F4" w:rsidP="006774F4">
      <w:pPr>
        <w:pStyle w:val="Heading2"/>
      </w:pPr>
      <w:bookmarkStart w:id="166" w:name="__RefHeading___Toc4941_3048004937"/>
      <w:bookmarkStart w:id="167" w:name="_Toc239750726"/>
      <w:bookmarkEnd w:id="166"/>
      <w:r>
        <w:rPr>
          <w:lang w:val="fr-CA"/>
        </w:rPr>
        <w:t>Constats du rapport</w:t>
      </w:r>
      <w:bookmarkEnd w:id="167"/>
    </w:p>
    <w:p w14:paraId="1E9A18A7"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r>
        <w:rPr>
          <w:sz w:val="21"/>
          <w:szCs w:val="21"/>
          <w:lang w:val="fr-CA"/>
        </w:rPr>
        <w:t xml:space="preserve">« </w:t>
      </w:r>
      <w:proofErr w:type="gramStart"/>
      <w:r>
        <w:rPr>
          <w:sz w:val="21"/>
          <w:szCs w:val="21"/>
          <w:lang w:val="fr-CA"/>
        </w:rPr>
        <w:t>dans</w:t>
      </w:r>
      <w:proofErr w:type="gramEnd"/>
      <w:r>
        <w:rPr>
          <w:sz w:val="21"/>
          <w:szCs w:val="21"/>
          <w:lang w:val="fr-CA"/>
        </w:rPr>
        <w:t xml:space="preserve"> les faits, le gouvernement de Terre-Neuve-et-Labrador avait décidé d’avance que le projet irait de l’avant »</w:t>
      </w:r>
    </w:p>
    <w:p w14:paraId="18B06ED9"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r>
        <w:rPr>
          <w:sz w:val="21"/>
          <w:szCs w:val="21"/>
          <w:lang w:val="fr-CA"/>
        </w:rPr>
        <w:t xml:space="preserve">« Même si le gouvernement de Terre-Neuve-et-Labrador et </w:t>
      </w:r>
      <w:proofErr w:type="spellStart"/>
      <w:r>
        <w:rPr>
          <w:sz w:val="21"/>
          <w:szCs w:val="21"/>
          <w:lang w:val="fr-CA"/>
        </w:rPr>
        <w:t>Nalcor</w:t>
      </w:r>
      <w:proofErr w:type="spellEnd"/>
      <w:r>
        <w:rPr>
          <w:sz w:val="21"/>
          <w:szCs w:val="21"/>
          <w:lang w:val="fr-CA"/>
        </w:rPr>
        <w:t xml:space="preserve"> partageaient le même objectif de réaliser le projet, le gouvernement n’avait ni la capacité ni une forte volonté d’exercer une surveillance efficace sur </w:t>
      </w:r>
      <w:proofErr w:type="spellStart"/>
      <w:r>
        <w:rPr>
          <w:sz w:val="21"/>
          <w:szCs w:val="21"/>
          <w:lang w:val="fr-CA"/>
        </w:rPr>
        <w:t>Nalcor</w:t>
      </w:r>
      <w:proofErr w:type="spellEnd"/>
      <w:r>
        <w:rPr>
          <w:sz w:val="21"/>
          <w:szCs w:val="21"/>
          <w:lang w:val="fr-CA"/>
        </w:rPr>
        <w:t xml:space="preserve"> »</w:t>
      </w:r>
    </w:p>
    <w:p w14:paraId="43994CCE"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proofErr w:type="gramStart"/>
      <w:r>
        <w:rPr>
          <w:sz w:val="21"/>
          <w:szCs w:val="21"/>
          <w:lang w:val="fr-CA"/>
        </w:rPr>
        <w:t>l’estimation</w:t>
      </w:r>
      <w:proofErr w:type="gramEnd"/>
      <w:r>
        <w:rPr>
          <w:sz w:val="21"/>
          <w:szCs w:val="21"/>
          <w:lang w:val="fr-CA"/>
        </w:rPr>
        <w:t xml:space="preserve"> de base n’était « pas de la plus haute qualité », </w:t>
      </w:r>
      <w:proofErr w:type="spellStart"/>
      <w:r>
        <w:rPr>
          <w:sz w:val="21"/>
          <w:szCs w:val="21"/>
          <w:lang w:val="fr-CA"/>
        </w:rPr>
        <w:t>Nalcor</w:t>
      </w:r>
      <w:proofErr w:type="spellEnd"/>
      <w:r>
        <w:rPr>
          <w:sz w:val="21"/>
          <w:szCs w:val="21"/>
          <w:lang w:val="fr-CA"/>
        </w:rPr>
        <w:t xml:space="preserve"> avait réduit d’environ 379 millions de dollars les estimations de SNC et la provision pour éventualités de 6,7 % était « déraisonnablement faible »</w:t>
      </w:r>
    </w:p>
    <w:p w14:paraId="6B2449BC"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r>
        <w:rPr>
          <w:sz w:val="21"/>
          <w:szCs w:val="21"/>
          <w:lang w:val="fr-CA"/>
        </w:rPr>
        <w:t xml:space="preserve">« </w:t>
      </w:r>
      <w:proofErr w:type="spellStart"/>
      <w:r>
        <w:rPr>
          <w:sz w:val="21"/>
          <w:szCs w:val="21"/>
          <w:lang w:val="fr-CA"/>
        </w:rPr>
        <w:t>Nalcor</w:t>
      </w:r>
      <w:proofErr w:type="spellEnd"/>
      <w:r>
        <w:rPr>
          <w:sz w:val="21"/>
          <w:szCs w:val="21"/>
          <w:lang w:val="fr-CA"/>
        </w:rPr>
        <w:t xml:space="preserve"> a décidé de quantifier seulement quatre risques stratégiques » à l’étape DG3, excluant 29 risques déjà relevés</w:t>
      </w:r>
    </w:p>
    <w:p w14:paraId="6A2D9566"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r>
        <w:rPr>
          <w:sz w:val="21"/>
          <w:szCs w:val="21"/>
          <w:lang w:val="fr-CA"/>
        </w:rPr>
        <w:t xml:space="preserve">« Aucune de ces informations n’a été fournie au gouvernement de Terre-Neuve-et-Labrador ni au conseil d’administration de </w:t>
      </w:r>
      <w:proofErr w:type="spellStart"/>
      <w:r>
        <w:rPr>
          <w:sz w:val="21"/>
          <w:szCs w:val="21"/>
          <w:lang w:val="fr-CA"/>
        </w:rPr>
        <w:t>Nalcor</w:t>
      </w:r>
      <w:proofErr w:type="spellEnd"/>
      <w:r>
        <w:rPr>
          <w:sz w:val="21"/>
          <w:szCs w:val="21"/>
          <w:lang w:val="fr-CA"/>
        </w:rPr>
        <w:t xml:space="preserve"> avant la clôture financière », alors que les rapports Management Outlook faisaient état d’augmentations de coûts de 600 et 800 millions de dollars</w:t>
      </w:r>
    </w:p>
    <w:p w14:paraId="71C95DAB" w14:textId="77777777" w:rsidR="006774F4" w:rsidRPr="006774F4" w:rsidRDefault="006774F4" w:rsidP="006774F4">
      <w:pPr>
        <w:pStyle w:val="ListParagraph"/>
        <w:numPr>
          <w:ilvl w:val="0"/>
          <w:numId w:val="8"/>
        </w:numPr>
        <w:spacing w:after="100" w:line="276" w:lineRule="auto"/>
        <w:contextualSpacing w:val="0"/>
        <w:rPr>
          <w:sz w:val="21"/>
          <w:szCs w:val="21"/>
          <w:lang w:val="fr-FR"/>
        </w:rPr>
      </w:pPr>
      <w:proofErr w:type="gramStart"/>
      <w:r>
        <w:rPr>
          <w:sz w:val="21"/>
          <w:szCs w:val="21"/>
          <w:lang w:val="fr-CA"/>
        </w:rPr>
        <w:t>se</w:t>
      </w:r>
      <w:proofErr w:type="gramEnd"/>
      <w:r>
        <w:rPr>
          <w:sz w:val="21"/>
          <w:szCs w:val="21"/>
          <w:lang w:val="fr-CA"/>
        </w:rPr>
        <w:t xml:space="preserve"> fier à l’ingénieur indépendant « sans comprendre pleinement la portée limitée de son travail » était « clairement erroné, malavisé et déraisonnable »</w:t>
      </w:r>
    </w:p>
    <w:p w14:paraId="551B4D60" w14:textId="77777777" w:rsidR="006774F4" w:rsidRDefault="006774F4" w:rsidP="006774F4">
      <w:pPr>
        <w:pStyle w:val="Heading2"/>
      </w:pPr>
      <w:bookmarkStart w:id="168" w:name="__RefHeading___Toc4943_3048004937"/>
      <w:bookmarkEnd w:id="168"/>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590"/>
        <w:gridCol w:w="2650"/>
      </w:tblGrid>
      <w:tr w:rsidR="006774F4" w14:paraId="02C47D5B" w14:textId="77777777" w:rsidTr="00AA5586">
        <w:trPr>
          <w:cantSplit/>
          <w:tblHeader/>
        </w:trPr>
        <w:tc>
          <w:tcPr>
            <w:tcW w:w="900" w:type="dxa"/>
            <w:shd w:val="clear" w:color="auto" w:fill="1B3A6B"/>
          </w:tcPr>
          <w:p w14:paraId="13743737"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shd w:val="clear" w:color="auto" w:fill="1B3A6B"/>
          </w:tcPr>
          <w:p w14:paraId="6C76FC90" w14:textId="77777777" w:rsidR="006774F4" w:rsidRDefault="006774F4" w:rsidP="00AA5586">
            <w:pPr>
              <w:spacing w:after="0" w:line="254" w:lineRule="auto"/>
              <w:jc w:val="center"/>
            </w:pPr>
            <w:r>
              <w:rPr>
                <w:b/>
                <w:bCs/>
                <w:caps/>
                <w:color w:val="FFFFFF"/>
                <w:spacing w:val="16"/>
                <w:sz w:val="18"/>
                <w:szCs w:val="18"/>
                <w:lang w:val="fr-CA"/>
              </w:rPr>
              <w:t>Cause</w:t>
            </w:r>
          </w:p>
        </w:tc>
        <w:tc>
          <w:tcPr>
            <w:tcW w:w="1590" w:type="dxa"/>
            <w:shd w:val="clear" w:color="auto" w:fill="1B3A6B"/>
          </w:tcPr>
          <w:p w14:paraId="2BC41A5F"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650" w:type="dxa"/>
            <w:shd w:val="clear" w:color="auto" w:fill="1B3A6B"/>
          </w:tcPr>
          <w:p w14:paraId="1D34844F"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0B8FED22" w14:textId="77777777" w:rsidTr="00AA5586">
        <w:trPr>
          <w:cantSplit/>
        </w:trPr>
        <w:tc>
          <w:tcPr>
            <w:tcW w:w="900" w:type="dxa"/>
            <w:tcBorders>
              <w:left w:val="single" w:sz="4" w:space="0" w:color="000000"/>
              <w:bottom w:val="single" w:sz="4" w:space="0" w:color="000000"/>
              <w:right w:val="single" w:sz="4" w:space="0" w:color="000000"/>
            </w:tcBorders>
            <w:shd w:val="clear" w:color="auto" w:fill="FFFFFF" w:themeFill="background1"/>
            <w:vAlign w:val="center"/>
          </w:tcPr>
          <w:p w14:paraId="4709B771" w14:textId="77777777" w:rsidR="006774F4" w:rsidRDefault="006774F4" w:rsidP="00AA5586">
            <w:pPr>
              <w:spacing w:after="0" w:line="254" w:lineRule="auto"/>
              <w:jc w:val="center"/>
            </w:pPr>
            <w:r>
              <w:rPr>
                <w:b/>
                <w:bCs/>
                <w:sz w:val="18"/>
                <w:szCs w:val="18"/>
              </w:rPr>
              <w:t>C01</w:t>
            </w:r>
          </w:p>
        </w:tc>
        <w:tc>
          <w:tcPr>
            <w:tcW w:w="5099" w:type="dxa"/>
            <w:tcBorders>
              <w:left w:val="single" w:sz="4" w:space="0" w:color="000000"/>
              <w:bottom w:val="single" w:sz="4" w:space="0" w:color="000000"/>
              <w:right w:val="single" w:sz="4" w:space="0" w:color="000000"/>
            </w:tcBorders>
            <w:shd w:val="clear" w:color="auto" w:fill="FFFFFF" w:themeFill="background1"/>
            <w:vAlign w:val="center"/>
          </w:tcPr>
          <w:p w14:paraId="5ACF4A69"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590" w:type="dxa"/>
            <w:tcBorders>
              <w:left w:val="single" w:sz="4" w:space="0" w:color="000000"/>
              <w:bottom w:val="single" w:sz="4" w:space="0" w:color="000000"/>
              <w:right w:val="single" w:sz="4" w:space="0" w:color="000000"/>
            </w:tcBorders>
            <w:shd w:val="clear" w:color="auto" w:fill="FFFFFF" w:themeFill="background1"/>
            <w:vAlign w:val="center"/>
          </w:tcPr>
          <w:p w14:paraId="5D667F40" w14:textId="77777777" w:rsidR="006774F4" w:rsidRDefault="006774F4" w:rsidP="00AA5586">
            <w:pPr>
              <w:spacing w:after="0" w:line="254" w:lineRule="auto"/>
              <w:jc w:val="center"/>
            </w:pPr>
            <w:r>
              <w:rPr>
                <w:b/>
                <w:bCs/>
                <w:color w:val="B85C30"/>
                <w:sz w:val="18"/>
                <w:szCs w:val="18"/>
                <w:lang w:val="fr-CA"/>
              </w:rPr>
              <w:t>29,1 %</w:t>
            </w:r>
          </w:p>
        </w:tc>
        <w:tc>
          <w:tcPr>
            <w:tcW w:w="2650" w:type="dxa"/>
            <w:tcBorders>
              <w:left w:val="single" w:sz="4" w:space="0" w:color="000000"/>
              <w:bottom w:val="single" w:sz="4" w:space="0" w:color="000000"/>
              <w:right w:val="single" w:sz="4" w:space="0" w:color="000000"/>
            </w:tcBorders>
            <w:shd w:val="clear" w:color="auto" w:fill="FFFFFF" w:themeFill="background1"/>
            <w:vAlign w:val="center"/>
          </w:tcPr>
          <w:p w14:paraId="402CA3AD" w14:textId="77777777" w:rsidR="006774F4" w:rsidRDefault="006774F4" w:rsidP="00AA5586">
            <w:pPr>
              <w:spacing w:after="0" w:line="254" w:lineRule="auto"/>
              <w:jc w:val="center"/>
            </w:pPr>
            <w:r>
              <w:rPr>
                <w:sz w:val="18"/>
                <w:szCs w:val="18"/>
              </w:rPr>
              <w:t>Process</w:t>
            </w:r>
          </w:p>
        </w:tc>
      </w:tr>
      <w:tr w:rsidR="006774F4" w14:paraId="6D4F4E9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88D731" w14:textId="77777777" w:rsidR="006774F4" w:rsidRDefault="006774F4" w:rsidP="00AA5586">
            <w:pPr>
              <w:spacing w:after="0" w:line="254" w:lineRule="auto"/>
              <w:jc w:val="center"/>
            </w:pPr>
            <w:r>
              <w:rPr>
                <w:b/>
                <w:bCs/>
                <w:sz w:val="18"/>
                <w:szCs w:val="18"/>
              </w:rPr>
              <w:lastRenderedPageBreak/>
              <w:t>C02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BB4423A"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59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D5D733B" w14:textId="77777777" w:rsidR="006774F4" w:rsidRDefault="006774F4" w:rsidP="00AA5586">
            <w:pPr>
              <w:spacing w:after="0" w:line="254" w:lineRule="auto"/>
              <w:jc w:val="center"/>
            </w:pPr>
            <w:r>
              <w:rPr>
                <w:b/>
                <w:bCs/>
                <w:color w:val="B85C30"/>
                <w:sz w:val="18"/>
                <w:szCs w:val="18"/>
                <w:lang w:val="fr-CA"/>
              </w:rPr>
              <w:t>20,0 %</w:t>
            </w:r>
          </w:p>
        </w:tc>
        <w:tc>
          <w:tcPr>
            <w:tcW w:w="265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51A4ED6" w14:textId="77777777" w:rsidR="006774F4" w:rsidRDefault="006774F4" w:rsidP="00AA5586">
            <w:pPr>
              <w:spacing w:after="0" w:line="254" w:lineRule="auto"/>
              <w:jc w:val="center"/>
            </w:pPr>
            <w:r>
              <w:rPr>
                <w:sz w:val="18"/>
                <w:szCs w:val="18"/>
              </w:rPr>
              <w:t>Process</w:t>
            </w:r>
          </w:p>
        </w:tc>
      </w:tr>
      <w:tr w:rsidR="006774F4" w14:paraId="61B25168"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87EC4D"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104D6"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A36ECB" w14:textId="77777777" w:rsidR="006774F4" w:rsidRDefault="006774F4" w:rsidP="00AA5586">
            <w:pPr>
              <w:spacing w:after="0" w:line="254" w:lineRule="auto"/>
              <w:jc w:val="center"/>
            </w:pPr>
            <w:r>
              <w:rPr>
                <w:b/>
                <w:bCs/>
                <w:color w:val="B85C30"/>
                <w:sz w:val="18"/>
                <w:szCs w:val="18"/>
                <w:lang w:val="fr-CA"/>
              </w:rPr>
              <w:t>38,2 %</w:t>
            </w:r>
          </w:p>
        </w:tc>
        <w:tc>
          <w:tcPr>
            <w:tcW w:w="2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DE2EB3" w14:textId="77777777" w:rsidR="006774F4" w:rsidRDefault="006774F4" w:rsidP="00AA5586">
            <w:pPr>
              <w:spacing w:after="0" w:line="254" w:lineRule="auto"/>
              <w:jc w:val="center"/>
            </w:pPr>
            <w:r>
              <w:rPr>
                <w:sz w:val="18"/>
                <w:szCs w:val="18"/>
              </w:rPr>
              <w:t>Governance</w:t>
            </w:r>
          </w:p>
        </w:tc>
      </w:tr>
      <w:tr w:rsidR="006774F4" w14:paraId="7BF07F32"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0E9EE75" w14:textId="77777777" w:rsidR="006774F4" w:rsidRDefault="006774F4" w:rsidP="00AA5586">
            <w:pPr>
              <w:spacing w:after="0" w:line="254" w:lineRule="auto"/>
              <w:jc w:val="center"/>
            </w:pPr>
            <w:r>
              <w:rPr>
                <w:b/>
                <w:bCs/>
                <w:sz w:val="18"/>
                <w:szCs w:val="18"/>
              </w:rPr>
              <w:t>C13</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96DB2A7" w14:textId="77777777" w:rsidR="006774F4" w:rsidRPr="006774F4" w:rsidRDefault="006774F4" w:rsidP="00AA5586">
            <w:pPr>
              <w:spacing w:after="0" w:line="254" w:lineRule="auto"/>
              <w:rPr>
                <w:lang w:val="fr-FR"/>
              </w:rPr>
            </w:pPr>
            <w:r>
              <w:rPr>
                <w:sz w:val="18"/>
                <w:szCs w:val="18"/>
                <w:lang w:val="fr-CA"/>
              </w:rPr>
              <w:t>Écart de capacité ou de compétences</w:t>
            </w:r>
          </w:p>
        </w:tc>
        <w:tc>
          <w:tcPr>
            <w:tcW w:w="159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06B9AB2" w14:textId="77777777" w:rsidR="006774F4" w:rsidRDefault="006774F4" w:rsidP="00AA5586">
            <w:pPr>
              <w:spacing w:after="0" w:line="254" w:lineRule="auto"/>
              <w:jc w:val="center"/>
            </w:pPr>
            <w:r>
              <w:rPr>
                <w:b/>
                <w:bCs/>
                <w:color w:val="B85C30"/>
                <w:sz w:val="18"/>
                <w:szCs w:val="18"/>
                <w:lang w:val="fr-CA"/>
              </w:rPr>
              <w:t>7,3 %</w:t>
            </w:r>
          </w:p>
        </w:tc>
        <w:tc>
          <w:tcPr>
            <w:tcW w:w="265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B1A530A" w14:textId="77777777" w:rsidR="006774F4" w:rsidRDefault="006774F4" w:rsidP="00AA5586">
            <w:pPr>
              <w:spacing w:after="0" w:line="254" w:lineRule="auto"/>
              <w:jc w:val="center"/>
            </w:pPr>
            <w:r>
              <w:rPr>
                <w:sz w:val="18"/>
                <w:szCs w:val="18"/>
              </w:rPr>
              <w:t>People</w:t>
            </w:r>
          </w:p>
        </w:tc>
      </w:tr>
      <w:tr w:rsidR="006774F4" w14:paraId="7288A779"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4CA14A" w14:textId="77777777" w:rsidR="006774F4" w:rsidRDefault="006774F4" w:rsidP="00AA5586">
            <w:pPr>
              <w:spacing w:after="0" w:line="254" w:lineRule="auto"/>
              <w:jc w:val="center"/>
            </w:pPr>
            <w:r>
              <w:rPr>
                <w:b/>
                <w:bCs/>
                <w:sz w:val="18"/>
                <w:szCs w:val="18"/>
              </w:rPr>
              <w:t>C15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D4851A" w14:textId="77777777" w:rsidR="006774F4" w:rsidRPr="006774F4" w:rsidRDefault="006774F4" w:rsidP="00AA5586">
            <w:pPr>
              <w:spacing w:after="0" w:line="254" w:lineRule="auto"/>
              <w:rPr>
                <w:lang w:val="fr-FR"/>
              </w:rPr>
            </w:pPr>
            <w:r>
              <w:rPr>
                <w:sz w:val="18"/>
                <w:szCs w:val="18"/>
                <w:lang w:val="fr-CA"/>
              </w:rPr>
              <w:t>Assurance indépendante ou surveillance absente ou tardive</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02FB87" w14:textId="77777777" w:rsidR="006774F4" w:rsidRDefault="006774F4" w:rsidP="00AA5586">
            <w:pPr>
              <w:spacing w:after="0" w:line="254" w:lineRule="auto"/>
              <w:jc w:val="center"/>
            </w:pPr>
            <w:r>
              <w:rPr>
                <w:b/>
                <w:bCs/>
                <w:color w:val="B85C30"/>
                <w:sz w:val="18"/>
                <w:szCs w:val="18"/>
                <w:lang w:val="fr-CA"/>
              </w:rPr>
              <w:t>20,9 %</w:t>
            </w:r>
          </w:p>
        </w:tc>
        <w:tc>
          <w:tcPr>
            <w:tcW w:w="2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785604" w14:textId="77777777" w:rsidR="006774F4" w:rsidRDefault="006774F4" w:rsidP="00AA5586">
            <w:pPr>
              <w:spacing w:after="0" w:line="254" w:lineRule="auto"/>
              <w:jc w:val="center"/>
            </w:pPr>
            <w:r>
              <w:rPr>
                <w:sz w:val="18"/>
                <w:szCs w:val="18"/>
              </w:rPr>
              <w:t>Governance</w:t>
            </w:r>
          </w:p>
        </w:tc>
      </w:tr>
    </w:tbl>
    <w:p w14:paraId="7F8DCCDB" w14:textId="77777777" w:rsidR="006774F4" w:rsidRPr="006774F4" w:rsidRDefault="006774F4" w:rsidP="006774F4">
      <w:pPr>
        <w:pStyle w:val="Heading2"/>
        <w:rPr>
          <w:lang w:val="fr-FR"/>
        </w:rPr>
      </w:pPr>
      <w:bookmarkStart w:id="169" w:name="__RefHeading___Toc4945_3048004937"/>
      <w:bookmarkStart w:id="170" w:name="_Toc239750728"/>
      <w:bookmarkEnd w:id="169"/>
      <w:r>
        <w:rPr>
          <w:lang w:val="fr-CA"/>
        </w:rPr>
        <w:t xml:space="preserve">Ce qu’une intervention de Clarity </w:t>
      </w:r>
      <w:proofErr w:type="spellStart"/>
      <w:r>
        <w:rPr>
          <w:lang w:val="fr-CA"/>
        </w:rPr>
        <w:t>Builders</w:t>
      </w:r>
      <w:proofErr w:type="spellEnd"/>
      <w:r>
        <w:rPr>
          <w:lang w:val="fr-CA"/>
        </w:rPr>
        <w:t xml:space="preserve"> aurait permis d’aborder</w:t>
      </w:r>
      <w:bookmarkEnd w:id="170"/>
    </w:p>
    <w:p w14:paraId="7DF8F028" w14:textId="77777777" w:rsidR="006774F4" w:rsidRDefault="006774F4" w:rsidP="006774F4">
      <w:pPr>
        <w:pStyle w:val="ListParagraph"/>
        <w:numPr>
          <w:ilvl w:val="0"/>
          <w:numId w:val="26"/>
        </w:numPr>
        <w:spacing w:after="100" w:line="276" w:lineRule="auto"/>
        <w:contextualSpacing w:val="0"/>
        <w:rPr>
          <w:sz w:val="21"/>
          <w:szCs w:val="21"/>
        </w:rPr>
      </w:pPr>
      <w:r>
        <w:rPr>
          <w:b/>
          <w:bCs/>
          <w:color w:val="1B3A6B"/>
          <w:sz w:val="21"/>
          <w:szCs w:val="21"/>
          <w:lang w:val="fr-CA"/>
        </w:rPr>
        <w:t xml:space="preserve">5.1 </w:t>
      </w:r>
      <w:proofErr w:type="spellStart"/>
      <w:r>
        <w:rPr>
          <w:b/>
          <w:bCs/>
          <w:color w:val="1B3A6B"/>
          <w:sz w:val="21"/>
          <w:szCs w:val="21"/>
          <w:lang w:val="fr-CA"/>
        </w:rPr>
        <w:t>Executive</w:t>
      </w:r>
      <w:proofErr w:type="spellEnd"/>
      <w:r>
        <w:rPr>
          <w:b/>
          <w:bCs/>
          <w:color w:val="1B3A6B"/>
          <w:sz w:val="21"/>
          <w:szCs w:val="21"/>
          <w:lang w:val="fr-CA"/>
        </w:rPr>
        <w:t xml:space="preserve"> </w:t>
      </w:r>
      <w:proofErr w:type="spellStart"/>
      <w:r>
        <w:rPr>
          <w:b/>
          <w:bCs/>
          <w:color w:val="1B3A6B"/>
          <w:sz w:val="21"/>
          <w:szCs w:val="21"/>
          <w:lang w:val="fr-CA"/>
        </w:rPr>
        <w:t>sponsorship</w:t>
      </w:r>
      <w:proofErr w:type="spellEnd"/>
      <w:r>
        <w:rPr>
          <w:b/>
          <w:bCs/>
          <w:color w:val="1B3A6B"/>
          <w:sz w:val="21"/>
          <w:szCs w:val="21"/>
          <w:lang w:val="fr-CA"/>
        </w:rPr>
        <w:t xml:space="preserve">.  </w:t>
      </w:r>
      <w:r>
        <w:rPr>
          <w:sz w:val="21"/>
          <w:szCs w:val="21"/>
          <w:lang w:val="fr-CA"/>
        </w:rPr>
        <w:t>Un actionnaire qui n’a ni la capacité ni la volonté d’exercer une surveillance sur son propre promoteur présente une défaillance de parrainage au plus haut niveau de la structure. C’est à ce niveau que le projet a dérapé.</w:t>
      </w:r>
    </w:p>
    <w:p w14:paraId="52221F73" w14:textId="77777777" w:rsidR="006774F4" w:rsidRPr="006774F4" w:rsidRDefault="006774F4" w:rsidP="006774F4">
      <w:pPr>
        <w:pStyle w:val="ListParagraph"/>
        <w:numPr>
          <w:ilvl w:val="0"/>
          <w:numId w:val="26"/>
        </w:numPr>
        <w:spacing w:after="100" w:line="276" w:lineRule="auto"/>
        <w:contextualSpacing w:val="0"/>
        <w:rPr>
          <w:sz w:val="21"/>
          <w:szCs w:val="21"/>
          <w:lang w:val="fr-FR"/>
        </w:rPr>
      </w:pPr>
      <w:r>
        <w:rPr>
          <w:b/>
          <w:bCs/>
          <w:color w:val="1B3A6B"/>
          <w:sz w:val="21"/>
          <w:szCs w:val="21"/>
          <w:lang w:val="fr-CA"/>
        </w:rPr>
        <w:t xml:space="preserve">5.15 Independent assurance.  </w:t>
      </w:r>
      <w:r>
        <w:rPr>
          <w:sz w:val="21"/>
          <w:szCs w:val="21"/>
          <w:lang w:val="fr-CA"/>
        </w:rPr>
        <w:t>Mal comprendre la portée du travail d’un ingénieur indépendant révèle une lacune dans la conception du dispositif d’assurance. Ce que couvre cette assurance doit être défini avant que l’on puisse s’y fier.</w:t>
      </w:r>
    </w:p>
    <w:p w14:paraId="021D4E6E" w14:textId="77777777" w:rsidR="006774F4" w:rsidRPr="006774F4" w:rsidRDefault="006774F4" w:rsidP="006774F4">
      <w:pPr>
        <w:pStyle w:val="ListParagraph"/>
        <w:numPr>
          <w:ilvl w:val="0"/>
          <w:numId w:val="26"/>
        </w:numPr>
        <w:spacing w:after="100" w:line="276" w:lineRule="auto"/>
        <w:contextualSpacing w:val="0"/>
        <w:rPr>
          <w:sz w:val="21"/>
          <w:szCs w:val="21"/>
          <w:lang w:val="fr-FR"/>
        </w:rPr>
      </w:pPr>
      <w:r>
        <w:rPr>
          <w:b/>
          <w:bCs/>
          <w:color w:val="1B3A6B"/>
          <w:sz w:val="21"/>
          <w:szCs w:val="21"/>
          <w:lang w:val="fr-CA"/>
        </w:rPr>
        <w:t xml:space="preserve">5.2 Digital </w:t>
      </w:r>
      <w:proofErr w:type="spellStart"/>
      <w:r>
        <w:rPr>
          <w:b/>
          <w:bCs/>
          <w:color w:val="1B3A6B"/>
          <w:sz w:val="21"/>
          <w:szCs w:val="21"/>
          <w:lang w:val="fr-CA"/>
        </w:rPr>
        <w:t>capability</w:t>
      </w:r>
      <w:proofErr w:type="spellEnd"/>
      <w:r>
        <w:rPr>
          <w:b/>
          <w:bCs/>
          <w:color w:val="1B3A6B"/>
          <w:sz w:val="21"/>
          <w:szCs w:val="21"/>
          <w:lang w:val="fr-CA"/>
        </w:rPr>
        <w:t xml:space="preserve"> </w:t>
      </w:r>
      <w:proofErr w:type="spellStart"/>
      <w:r>
        <w:rPr>
          <w:b/>
          <w:bCs/>
          <w:color w:val="1B3A6B"/>
          <w:sz w:val="21"/>
          <w:szCs w:val="21"/>
          <w:lang w:val="fr-CA"/>
        </w:rPr>
        <w:t>baseline</w:t>
      </w:r>
      <w:proofErr w:type="spellEnd"/>
      <w:r>
        <w:rPr>
          <w:b/>
          <w:bCs/>
          <w:color w:val="1B3A6B"/>
          <w:sz w:val="21"/>
          <w:szCs w:val="21"/>
          <w:lang w:val="fr-CA"/>
        </w:rPr>
        <w:t xml:space="preserve">.  </w:t>
      </w:r>
      <w:r>
        <w:rPr>
          <w:sz w:val="21"/>
          <w:szCs w:val="21"/>
          <w:lang w:val="fr-CA"/>
        </w:rPr>
        <w:t>Le commissaire a constaté un manque de capacité du côté de la surveillance. Ce constat relève de la dimension People et n’apparaît que dans 7,3 % des entrées du registre.</w:t>
      </w:r>
    </w:p>
    <w:p w14:paraId="395688A9" w14:textId="77777777" w:rsidR="006774F4" w:rsidRPr="006774F4" w:rsidRDefault="006774F4" w:rsidP="006774F4">
      <w:pPr>
        <w:pStyle w:val="Heading2"/>
        <w:rPr>
          <w:lang w:val="fr-FR"/>
        </w:rPr>
      </w:pPr>
      <w:bookmarkStart w:id="171" w:name="__RefHeading___Toc4947_3048004937"/>
      <w:bookmarkStart w:id="172" w:name="_Toc239750729"/>
      <w:bookmarkEnd w:id="171"/>
      <w:r>
        <w:rPr>
          <w:lang w:val="fr-CA"/>
        </w:rPr>
        <w:t>Scénario illustratif</w:t>
      </w:r>
      <w:bookmarkEnd w:id="172"/>
    </w:p>
    <w:p w14:paraId="47C585CD" w14:textId="77777777" w:rsidR="006774F4" w:rsidRPr="006774F4" w:rsidRDefault="006774F4" w:rsidP="006774F4">
      <w:pPr>
        <w:rPr>
          <w:lang w:val="fr-FR"/>
        </w:rPr>
      </w:pPr>
      <w:r>
        <w:rPr>
          <w:lang w:val="fr-CA"/>
        </w:rPr>
        <w:t>L’augmentation de 3,9 milliards de dollars des coûts en capital et les 2,6 milliards de dollars de frais de financement sont les chiffres de la Commission. Nous n’en attribuons aucune part à une cause particulière.</w:t>
      </w:r>
    </w:p>
    <w:p w14:paraId="7FAAE21C" w14:textId="77777777" w:rsidR="006774F4" w:rsidRPr="006774F4" w:rsidRDefault="006774F4" w:rsidP="006774F4">
      <w:pPr>
        <w:rPr>
          <w:lang w:val="fr-FR"/>
        </w:rPr>
      </w:pPr>
      <w:r>
        <w:rPr>
          <w:lang w:val="fr-CA"/>
        </w:rPr>
        <w:t xml:space="preserve">Le scénario illustratif porte sur une décision précise. Des rapports Management Outlook faisant état de hausses de coûts de 600 et 800 millions de dollars existaient au sein de l’organisation avant la clôture financière, sans avoir </w:t>
      </w:r>
      <w:proofErr w:type="gramStart"/>
      <w:r>
        <w:rPr>
          <w:lang w:val="fr-CA"/>
        </w:rPr>
        <w:t>été communiqués ni</w:t>
      </w:r>
      <w:proofErr w:type="gramEnd"/>
      <w:r>
        <w:rPr>
          <w:lang w:val="fr-CA"/>
        </w:rPr>
        <w:t xml:space="preserve"> à l’actionnaire ni au conseil d’administration. Une information incomplète, tardive ou trop optimiste transmise aux décideurs est le code le plus fréquent du registre canadien, à 38,2 %. La clôture financière est le point à partir duquel la décision ne peut plus être annulée. Il est impossible de savoir si une information différente aurait changé la décision; la Commission conclut toutefois que celle-ci a été prise sans disposer de cette information.</w:t>
      </w:r>
    </w:p>
    <w:p w14:paraId="59B147CD" w14:textId="77777777" w:rsidR="006774F4" w:rsidRPr="006774F4" w:rsidRDefault="006774F4" w:rsidP="006774F4">
      <w:pPr>
        <w:pStyle w:val="Heading2"/>
        <w:spacing w:after="50"/>
        <w:rPr>
          <w:lang w:val="fr-FR"/>
        </w:rPr>
      </w:pPr>
      <w:bookmarkStart w:id="173" w:name="__RefHeading___Toc4949_3048004937"/>
      <w:bookmarkEnd w:id="173"/>
      <w:r>
        <w:rPr>
          <w:lang w:val="fr-CA"/>
        </w:rPr>
        <w:t>Contrefactuel</w:t>
      </w:r>
    </w:p>
    <w:p w14:paraId="011C7897"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Muskrat Falls aurait été annulé. Le commissaire ne va pas aussi loin, et nous non plus.</w:t>
      </w:r>
    </w:p>
    <w:p w14:paraId="3C4AE8A9"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 xml:space="preserve">Nous affirmons qu’un engagement de 12,7 milliards de dollars a été finalisé alors que des informations sur les coûts demeuraient à l’interne sans être communiquées, et qu’une obligation </w:t>
      </w:r>
      <w:r>
        <w:rPr>
          <w:sz w:val="21"/>
          <w:szCs w:val="21"/>
          <w:lang w:val="fr-CA"/>
        </w:rPr>
        <w:lastRenderedPageBreak/>
        <w:t>de communication clairement définie envers le conseil d’administration et l’actionnaire constitue un mécanisme concret, et non une simple intention.</w:t>
      </w:r>
    </w:p>
    <w:p w14:paraId="20CC70E4" w14:textId="77777777" w:rsidR="006774F4" w:rsidRPr="006774F4" w:rsidRDefault="006774F4" w:rsidP="006774F4">
      <w:pPr>
        <w:pStyle w:val="Heading1"/>
        <w:spacing w:before="380" w:after="170" w:line="290" w:lineRule="auto"/>
        <w:rPr>
          <w:b/>
          <w:bCs/>
          <w:color w:val="1B3A6B"/>
          <w:sz w:val="28"/>
          <w:szCs w:val="28"/>
          <w:lang w:val="fr-FR"/>
        </w:rPr>
      </w:pPr>
      <w:bookmarkStart w:id="174" w:name="__RefHeading___Toc4951_3048004937"/>
      <w:bookmarkStart w:id="175" w:name="_Toc239750730"/>
      <w:bookmarkEnd w:id="174"/>
      <w:r>
        <w:rPr>
          <w:b/>
          <w:bCs/>
          <w:color w:val="1B3A6B"/>
          <w:sz w:val="28"/>
          <w:szCs w:val="28"/>
          <w:lang w:val="fr-CA"/>
        </w:rPr>
        <w:t xml:space="preserve">Cas 14.  Unités 4 et 5 de </w:t>
      </w:r>
      <w:proofErr w:type="spellStart"/>
      <w:r>
        <w:rPr>
          <w:b/>
          <w:bCs/>
          <w:color w:val="1B3A6B"/>
          <w:sz w:val="28"/>
          <w:szCs w:val="28"/>
          <w:lang w:val="fr-CA"/>
        </w:rPr>
        <w:t>Boundary</w:t>
      </w:r>
      <w:proofErr w:type="spellEnd"/>
      <w:r>
        <w:rPr>
          <w:b/>
          <w:bCs/>
          <w:color w:val="1B3A6B"/>
          <w:sz w:val="28"/>
          <w:szCs w:val="28"/>
          <w:lang w:val="fr-CA"/>
        </w:rPr>
        <w:t xml:space="preserve"> Dam</w:t>
      </w:r>
      <w:bookmarkEnd w:id="175"/>
    </w:p>
    <w:p w14:paraId="5E13A36F" w14:textId="77777777" w:rsidR="006774F4" w:rsidRDefault="006774F4" w:rsidP="006774F4">
      <w:pPr>
        <w:spacing w:after="150" w:line="290" w:lineRule="auto"/>
        <w:rPr>
          <w:b/>
          <w:bCs/>
          <w:color w:val="auto"/>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08164C4F" w14:textId="77777777" w:rsidTr="00AA5586">
        <w:trPr>
          <w:cantSplit/>
        </w:trPr>
        <w:tc>
          <w:tcPr>
            <w:tcW w:w="2700" w:type="dxa"/>
            <w:tcBorders>
              <w:bottom w:val="single" w:sz="4" w:space="0" w:color="000000"/>
            </w:tcBorders>
            <w:shd w:val="clear" w:color="auto" w:fill="E2E8F0"/>
            <w:vAlign w:val="center"/>
          </w:tcPr>
          <w:p w14:paraId="3271B38A"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4F018348" w14:textId="77777777" w:rsidR="006774F4" w:rsidRDefault="006774F4" w:rsidP="00AA5586">
            <w:pPr>
              <w:spacing w:after="0" w:line="254" w:lineRule="auto"/>
              <w:jc w:val="center"/>
              <w:rPr>
                <w:b/>
                <w:bCs/>
                <w:sz w:val="19"/>
                <w:szCs w:val="19"/>
              </w:rPr>
            </w:pPr>
            <w:r>
              <w:rPr>
                <w:b/>
                <w:bCs/>
                <w:sz w:val="19"/>
                <w:szCs w:val="19"/>
              </w:rPr>
              <w:t>WEST-20</w:t>
            </w:r>
          </w:p>
        </w:tc>
      </w:tr>
      <w:tr w:rsidR="006774F4" w:rsidRPr="007B50E3" w14:paraId="6ABCF96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A7A1C6F"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9A1AED6" w14:textId="77777777" w:rsidR="006774F4" w:rsidRPr="006774F4" w:rsidRDefault="006774F4" w:rsidP="00AA5586">
            <w:pPr>
              <w:spacing w:after="0" w:line="254" w:lineRule="auto"/>
              <w:rPr>
                <w:lang w:val="fr-FR"/>
              </w:rPr>
            </w:pPr>
            <w:proofErr w:type="gramStart"/>
            <w:r>
              <w:rPr>
                <w:sz w:val="19"/>
                <w:szCs w:val="19"/>
                <w:lang w:val="fr-CA"/>
              </w:rPr>
              <w:t>Saskatchewan  ·</w:t>
            </w:r>
            <w:proofErr w:type="gramEnd"/>
            <w:r>
              <w:rPr>
                <w:sz w:val="19"/>
                <w:szCs w:val="19"/>
                <w:lang w:val="fr-CA"/>
              </w:rPr>
              <w:t xml:space="preserve">  Audit d’optimisation des ressources par le vérificateur législatif</w:t>
            </w:r>
          </w:p>
        </w:tc>
      </w:tr>
      <w:tr w:rsidR="006774F4" w:rsidRPr="006774F4" w14:paraId="70225EE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EB9681E"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9DC3677" w14:textId="77777777" w:rsidR="006774F4" w:rsidRPr="006774F4" w:rsidRDefault="006774F4" w:rsidP="00AA5586">
            <w:pPr>
              <w:spacing w:after="0" w:line="254" w:lineRule="auto"/>
              <w:rPr>
                <w:lang w:val="fr-FR"/>
              </w:rPr>
            </w:pPr>
            <w:r>
              <w:rPr>
                <w:sz w:val="19"/>
                <w:szCs w:val="19"/>
                <w:lang w:val="fr-CA"/>
              </w:rPr>
              <w:t>Vérificateur provincial de la Saskatchewan</w:t>
            </w:r>
          </w:p>
        </w:tc>
      </w:tr>
      <w:tr w:rsidR="006774F4" w:rsidRPr="006774F4" w14:paraId="41D75D4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19F9E6E"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38DCBFD" w14:textId="77777777" w:rsidR="006774F4" w:rsidRPr="006774F4" w:rsidRDefault="006774F4" w:rsidP="00AA5586">
            <w:pPr>
              <w:spacing w:after="0" w:line="254" w:lineRule="auto"/>
              <w:rPr>
                <w:lang w:val="fr-FR"/>
              </w:rPr>
            </w:pPr>
            <w:proofErr w:type="spellStart"/>
            <w:r>
              <w:rPr>
                <w:sz w:val="19"/>
                <w:szCs w:val="19"/>
                <w:lang w:val="fr-CA"/>
              </w:rPr>
              <w:t>SaskPower</w:t>
            </w:r>
            <w:proofErr w:type="spellEnd"/>
            <w:r>
              <w:rPr>
                <w:sz w:val="19"/>
                <w:szCs w:val="19"/>
                <w:lang w:val="fr-CA"/>
              </w:rPr>
              <w:t xml:space="preserve"> — planification de l’arrêt et de la mise hors service de </w:t>
            </w:r>
            <w:proofErr w:type="spellStart"/>
            <w:r>
              <w:rPr>
                <w:sz w:val="19"/>
                <w:szCs w:val="19"/>
                <w:lang w:val="fr-CA"/>
              </w:rPr>
              <w:t>Boundary</w:t>
            </w:r>
            <w:proofErr w:type="spellEnd"/>
            <w:r>
              <w:rPr>
                <w:sz w:val="19"/>
                <w:szCs w:val="19"/>
                <w:lang w:val="fr-CA"/>
              </w:rPr>
              <w:t xml:space="preserve"> Dam, 2020</w:t>
            </w:r>
          </w:p>
        </w:tc>
      </w:tr>
      <w:tr w:rsidR="006774F4" w14:paraId="50BC240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E229215"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4B244C" w14:textId="77777777" w:rsidR="006774F4" w:rsidRDefault="006774F4" w:rsidP="00AA5586">
            <w:pPr>
              <w:spacing w:after="0" w:line="254" w:lineRule="auto"/>
            </w:pPr>
            <w:r>
              <w:rPr>
                <w:sz w:val="19"/>
                <w:szCs w:val="19"/>
                <w:lang w:val="fr-CA"/>
              </w:rPr>
              <w:t>Production d’énergie</w:t>
            </w:r>
          </w:p>
        </w:tc>
      </w:tr>
      <w:tr w:rsidR="006774F4" w:rsidRPr="006774F4" w14:paraId="409FCFF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CBF88D2"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F0BD6D" w14:textId="77777777" w:rsidR="006774F4" w:rsidRPr="006774F4" w:rsidRDefault="006774F4" w:rsidP="00AA5586">
            <w:pPr>
              <w:spacing w:after="0" w:line="254" w:lineRule="auto"/>
              <w:rPr>
                <w:lang w:val="fr-FR"/>
              </w:rPr>
            </w:pPr>
            <w:r>
              <w:rPr>
                <w:sz w:val="19"/>
                <w:szCs w:val="19"/>
                <w:lang w:val="fr-CA"/>
              </w:rPr>
              <w:t>Coût total estimé de la mise hors service : environ 83 millions de dollars</w:t>
            </w:r>
          </w:p>
        </w:tc>
      </w:tr>
      <w:tr w:rsidR="006774F4" w:rsidRPr="006774F4" w14:paraId="2A048EE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DFA40F9"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49B6F2B" w14:textId="77777777" w:rsidR="006774F4" w:rsidRPr="006774F4" w:rsidRDefault="006774F4" w:rsidP="00AA5586">
            <w:pPr>
              <w:spacing w:after="0" w:line="254" w:lineRule="auto"/>
              <w:rPr>
                <w:lang w:val="fr-FR"/>
              </w:rPr>
            </w:pPr>
            <w:r>
              <w:rPr>
                <w:sz w:val="19"/>
                <w:szCs w:val="19"/>
                <w:lang w:val="fr-CA"/>
              </w:rPr>
              <w:t>Provision pour éventualités sous-estimée : 13,8 millions de dollars, soit 20 %, alors que la plage applicable correspond à 13,8 à 34,4 millions de dollars</w:t>
            </w:r>
          </w:p>
        </w:tc>
      </w:tr>
      <w:tr w:rsidR="006774F4" w14:paraId="395159B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BEA0171"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460C44" w14:textId="77777777" w:rsidR="006774F4" w:rsidRDefault="006774F4" w:rsidP="00AA5586">
            <w:pPr>
              <w:spacing w:after="0" w:line="254" w:lineRule="auto"/>
            </w:pPr>
            <w:r>
              <w:rPr>
                <w:sz w:val="19"/>
                <w:szCs w:val="19"/>
                <w:lang w:val="fr-CA"/>
              </w:rPr>
              <w:t>Non quantifié</w:t>
            </w:r>
          </w:p>
        </w:tc>
      </w:tr>
      <w:tr w:rsidR="006774F4" w14:paraId="617841A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0EC2A49"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F1EF3B4" w14:textId="77777777" w:rsidR="006774F4" w:rsidRDefault="006774F4" w:rsidP="00AA5586">
            <w:pPr>
              <w:spacing w:after="0" w:line="254" w:lineRule="auto"/>
            </w:pPr>
            <w:r>
              <w:rPr>
                <w:sz w:val="19"/>
                <w:szCs w:val="19"/>
              </w:rPr>
              <w:t>C02</w:t>
            </w:r>
          </w:p>
        </w:tc>
      </w:tr>
      <w:tr w:rsidR="006774F4" w14:paraId="0013BE7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D7B22B1"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7EED2A4" w14:textId="77777777" w:rsidR="006774F4" w:rsidRDefault="006774F4" w:rsidP="00AA5586">
            <w:pPr>
              <w:spacing w:after="0" w:line="254" w:lineRule="auto"/>
              <w:rPr>
                <w:color w:val="auto"/>
                <w:sz w:val="19"/>
                <w:szCs w:val="19"/>
              </w:rPr>
            </w:pPr>
            <w:r>
              <w:rPr>
                <w:color w:val="auto"/>
                <w:sz w:val="19"/>
                <w:szCs w:val="19"/>
              </w:rPr>
              <w:t>Process</w:t>
            </w:r>
          </w:p>
        </w:tc>
      </w:tr>
    </w:tbl>
    <w:p w14:paraId="107E8964" w14:textId="77777777" w:rsidR="006774F4" w:rsidRDefault="006774F4" w:rsidP="006774F4">
      <w:pPr>
        <w:pStyle w:val="Heading2"/>
      </w:pPr>
      <w:bookmarkStart w:id="176" w:name="__RefHeading___Toc4953_3048004937"/>
      <w:bookmarkStart w:id="177" w:name="_Toc239750731"/>
      <w:bookmarkEnd w:id="176"/>
      <w:r>
        <w:rPr>
          <w:lang w:val="fr-CA"/>
        </w:rPr>
        <w:t>Ce qui s’est passé</w:t>
      </w:r>
      <w:bookmarkEnd w:id="177"/>
    </w:p>
    <w:p w14:paraId="6169709C" w14:textId="77777777" w:rsidR="006774F4" w:rsidRPr="006774F4" w:rsidRDefault="006774F4" w:rsidP="006774F4">
      <w:pPr>
        <w:rPr>
          <w:lang w:val="fr-FR"/>
        </w:rPr>
      </w:pPr>
      <w:r>
        <w:rPr>
          <w:lang w:val="fr-CA"/>
        </w:rPr>
        <w:t>Tout ouvrage consacré aux échecs a besoin d’un cas où presque rien ne s’est mal passé, faute de quoi le lecteur finit par ne plus y croire. C’est ce cas-ci.</w:t>
      </w:r>
    </w:p>
    <w:p w14:paraId="2511E968" w14:textId="77777777" w:rsidR="006774F4" w:rsidRPr="006774F4" w:rsidRDefault="006774F4" w:rsidP="006774F4">
      <w:pPr>
        <w:rPr>
          <w:lang w:val="fr-FR"/>
        </w:rPr>
      </w:pPr>
      <w:r>
        <w:rPr>
          <w:lang w:val="fr-CA"/>
        </w:rPr>
        <w:t xml:space="preserve">Le vérificateur provincial a conclu que </w:t>
      </w:r>
      <w:proofErr w:type="spellStart"/>
      <w:r>
        <w:rPr>
          <w:lang w:val="fr-CA"/>
        </w:rPr>
        <w:t>SaskPower</w:t>
      </w:r>
      <w:proofErr w:type="spellEnd"/>
      <w:r>
        <w:rPr>
          <w:lang w:val="fr-CA"/>
        </w:rPr>
        <w:t xml:space="preserve"> disposait de processus efficaces pour planifier la mise à l’arrêt sécuritaire de deux unités au charbon et que la planification de l’arrêt de l’unité 4, prévu en décembre 2021, avait atteint un stade approprié. Une seule lacune a été relevée, et elle tient en une ligne.</w:t>
      </w:r>
    </w:p>
    <w:p w14:paraId="3B340F27" w14:textId="77777777" w:rsidR="006774F4" w:rsidRPr="006774F4" w:rsidRDefault="006774F4" w:rsidP="006774F4">
      <w:pPr>
        <w:rPr>
          <w:lang w:val="fr-FR"/>
        </w:rPr>
      </w:pPr>
      <w:proofErr w:type="spellStart"/>
      <w:r>
        <w:rPr>
          <w:lang w:val="fr-CA"/>
        </w:rPr>
        <w:t>SaskPower</w:t>
      </w:r>
      <w:proofErr w:type="spellEnd"/>
      <w:r>
        <w:rPr>
          <w:lang w:val="fr-CA"/>
        </w:rPr>
        <w:t xml:space="preserve"> a fixé la provision pour éventualités à 20 %, soit 13,8 millions de dollars sur une estimation de 83 millions. Le système de classification des estimations de coûts adopté par le Saskatchewan </w:t>
      </w:r>
      <w:proofErr w:type="spellStart"/>
      <w:r>
        <w:rPr>
          <w:lang w:val="fr-CA"/>
        </w:rPr>
        <w:t>Environmental</w:t>
      </w:r>
      <w:proofErr w:type="spellEnd"/>
      <w:r>
        <w:rPr>
          <w:lang w:val="fr-CA"/>
        </w:rPr>
        <w:t xml:space="preserve"> Code prévoit, à cette étape, une plage de 20 % à 50 %, ce qui aurait situé la provision entre 13,8 et 34,4 millions de dollars. La société a retenu le seuil minimal de la plage applicable sans utiliser le système de classification pour déterminer où l’estimation devait se situer à l’intérieur de cette plage.</w:t>
      </w:r>
    </w:p>
    <w:p w14:paraId="573612E0" w14:textId="77777777" w:rsidR="006774F4" w:rsidRDefault="006774F4" w:rsidP="006774F4">
      <w:pPr>
        <w:pStyle w:val="Heading2"/>
      </w:pPr>
      <w:bookmarkStart w:id="178" w:name="__RefHeading___Toc4955_3048004937"/>
      <w:bookmarkStart w:id="179" w:name="_Toc239750732"/>
      <w:bookmarkEnd w:id="178"/>
      <w:r>
        <w:rPr>
          <w:lang w:val="fr-CA"/>
        </w:rPr>
        <w:t>Constats du rapport</w:t>
      </w:r>
      <w:bookmarkEnd w:id="179"/>
    </w:p>
    <w:p w14:paraId="507EEEB2" w14:textId="77777777" w:rsidR="006774F4" w:rsidRPr="006774F4" w:rsidRDefault="006774F4" w:rsidP="006774F4">
      <w:pPr>
        <w:pStyle w:val="ListParagraph"/>
        <w:numPr>
          <w:ilvl w:val="0"/>
          <w:numId w:val="27"/>
        </w:numPr>
        <w:spacing w:after="100" w:line="276" w:lineRule="auto"/>
        <w:contextualSpacing w:val="0"/>
        <w:rPr>
          <w:sz w:val="21"/>
          <w:szCs w:val="21"/>
          <w:lang w:val="fr-FR"/>
        </w:rPr>
      </w:pPr>
      <w:proofErr w:type="spellStart"/>
      <w:r>
        <w:rPr>
          <w:sz w:val="21"/>
          <w:szCs w:val="21"/>
          <w:lang w:val="fr-CA"/>
        </w:rPr>
        <w:t>SaskPower</w:t>
      </w:r>
      <w:proofErr w:type="spellEnd"/>
      <w:r>
        <w:rPr>
          <w:sz w:val="21"/>
          <w:szCs w:val="21"/>
          <w:lang w:val="fr-CA"/>
        </w:rPr>
        <w:t xml:space="preserve"> disposait de processus efficaces pour planifier la mise à l’arrêt sécuritaire des unités 4 et 5 de production d’électricité au charbon</w:t>
      </w:r>
    </w:p>
    <w:p w14:paraId="3097FBE8" w14:textId="77777777" w:rsidR="006774F4" w:rsidRPr="006774F4" w:rsidRDefault="006774F4" w:rsidP="006774F4">
      <w:pPr>
        <w:pStyle w:val="ListParagraph"/>
        <w:numPr>
          <w:ilvl w:val="0"/>
          <w:numId w:val="27"/>
        </w:numPr>
        <w:spacing w:after="100" w:line="276" w:lineRule="auto"/>
        <w:contextualSpacing w:val="0"/>
        <w:rPr>
          <w:sz w:val="21"/>
          <w:szCs w:val="21"/>
          <w:lang w:val="fr-FR"/>
        </w:rPr>
      </w:pPr>
      <w:proofErr w:type="spellStart"/>
      <w:r>
        <w:rPr>
          <w:sz w:val="21"/>
          <w:szCs w:val="21"/>
          <w:lang w:val="fr-CA"/>
        </w:rPr>
        <w:lastRenderedPageBreak/>
        <w:t>SaskPower</w:t>
      </w:r>
      <w:proofErr w:type="spellEnd"/>
      <w:r>
        <w:rPr>
          <w:sz w:val="21"/>
          <w:szCs w:val="21"/>
          <w:lang w:val="fr-CA"/>
        </w:rPr>
        <w:t xml:space="preserve"> doit utiliser le système de classification des estimations de coûts adopté par le Saskatchewan </w:t>
      </w:r>
      <w:proofErr w:type="spellStart"/>
      <w:r>
        <w:rPr>
          <w:sz w:val="21"/>
          <w:szCs w:val="21"/>
          <w:lang w:val="fr-CA"/>
        </w:rPr>
        <w:t>Environmental</w:t>
      </w:r>
      <w:proofErr w:type="spellEnd"/>
      <w:r>
        <w:rPr>
          <w:sz w:val="21"/>
          <w:szCs w:val="21"/>
          <w:lang w:val="fr-CA"/>
        </w:rPr>
        <w:t xml:space="preserve"> Code pour déterminer la provision pour éventualités</w:t>
      </w:r>
    </w:p>
    <w:p w14:paraId="51A7B392" w14:textId="77777777" w:rsidR="006774F4" w:rsidRPr="006774F4" w:rsidRDefault="006774F4" w:rsidP="006774F4">
      <w:pPr>
        <w:pStyle w:val="ListParagraph"/>
        <w:numPr>
          <w:ilvl w:val="0"/>
          <w:numId w:val="27"/>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Code prévoit une provision pour éventualités de 20 % à 50 %, comparativement aux 20 % utilisés</w:t>
      </w:r>
    </w:p>
    <w:p w14:paraId="29A0BC09" w14:textId="77777777" w:rsidR="006774F4" w:rsidRPr="006774F4" w:rsidRDefault="006774F4" w:rsidP="006774F4">
      <w:pPr>
        <w:pStyle w:val="ListParagraph"/>
        <w:numPr>
          <w:ilvl w:val="0"/>
          <w:numId w:val="27"/>
        </w:numPr>
        <w:spacing w:after="100" w:line="276" w:lineRule="auto"/>
        <w:contextualSpacing w:val="0"/>
        <w:rPr>
          <w:sz w:val="21"/>
          <w:szCs w:val="21"/>
          <w:lang w:val="fr-FR"/>
        </w:rPr>
      </w:pPr>
      <w:proofErr w:type="gramStart"/>
      <w:r>
        <w:rPr>
          <w:sz w:val="21"/>
          <w:szCs w:val="21"/>
          <w:lang w:val="fr-CA"/>
        </w:rPr>
        <w:t>la</w:t>
      </w:r>
      <w:proofErr w:type="gramEnd"/>
      <w:r>
        <w:rPr>
          <w:sz w:val="21"/>
          <w:szCs w:val="21"/>
          <w:lang w:val="fr-CA"/>
        </w:rPr>
        <w:t xml:space="preserve"> planification de l’arrêt de l’unité 4 prévu en décembre 2021 avait atteint un stade approprié</w:t>
      </w:r>
    </w:p>
    <w:p w14:paraId="165A7080" w14:textId="77777777" w:rsidR="006774F4" w:rsidRDefault="006774F4" w:rsidP="006774F4">
      <w:pPr>
        <w:pStyle w:val="Heading2"/>
      </w:pPr>
      <w:bookmarkStart w:id="180" w:name="__RefHeading___Toc4957_3048004937"/>
      <w:bookmarkEnd w:id="180"/>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710"/>
        <w:gridCol w:w="2530"/>
      </w:tblGrid>
      <w:tr w:rsidR="006774F4" w14:paraId="5F9F3B2B" w14:textId="77777777" w:rsidTr="00AA5586">
        <w:trPr>
          <w:cantSplit/>
          <w:tblHeader/>
        </w:trPr>
        <w:tc>
          <w:tcPr>
            <w:tcW w:w="900" w:type="dxa"/>
            <w:shd w:val="clear" w:color="auto" w:fill="1B3A6B"/>
            <w:vAlign w:val="center"/>
          </w:tcPr>
          <w:p w14:paraId="269AA010"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shd w:val="clear" w:color="auto" w:fill="1B3A6B"/>
          </w:tcPr>
          <w:p w14:paraId="14FB5D2F" w14:textId="77777777" w:rsidR="006774F4" w:rsidRDefault="006774F4" w:rsidP="00AA5586">
            <w:pPr>
              <w:spacing w:after="0" w:line="254" w:lineRule="auto"/>
              <w:jc w:val="center"/>
            </w:pPr>
            <w:r>
              <w:rPr>
                <w:b/>
                <w:bCs/>
                <w:caps/>
                <w:color w:val="FFFFFF"/>
                <w:spacing w:val="16"/>
                <w:sz w:val="18"/>
                <w:szCs w:val="18"/>
                <w:lang w:val="fr-CA"/>
              </w:rPr>
              <w:t>Cause</w:t>
            </w:r>
          </w:p>
        </w:tc>
        <w:tc>
          <w:tcPr>
            <w:tcW w:w="1710" w:type="dxa"/>
            <w:shd w:val="clear" w:color="auto" w:fill="1B3A6B"/>
          </w:tcPr>
          <w:p w14:paraId="0A327F9C"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30" w:type="dxa"/>
            <w:shd w:val="clear" w:color="auto" w:fill="1B3A6B"/>
          </w:tcPr>
          <w:p w14:paraId="4E564B9A"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7D357EE2" w14:textId="77777777" w:rsidTr="00AA5586">
        <w:trPr>
          <w:cantSplit/>
          <w:trHeight w:val="300"/>
        </w:trPr>
        <w:tc>
          <w:tcPr>
            <w:tcW w:w="900" w:type="dxa"/>
            <w:tcBorders>
              <w:left w:val="single" w:sz="4" w:space="0" w:color="000000"/>
              <w:bottom w:val="single" w:sz="4" w:space="0" w:color="000000"/>
              <w:right w:val="single" w:sz="4" w:space="0" w:color="000000"/>
            </w:tcBorders>
            <w:shd w:val="clear" w:color="auto" w:fill="FFFFFF" w:themeFill="background1"/>
            <w:vAlign w:val="center"/>
          </w:tcPr>
          <w:p w14:paraId="7AADD3DC" w14:textId="77777777" w:rsidR="006774F4" w:rsidRDefault="006774F4" w:rsidP="00AA5586">
            <w:pPr>
              <w:spacing w:after="0" w:line="254" w:lineRule="auto"/>
              <w:jc w:val="center"/>
            </w:pPr>
            <w:r>
              <w:rPr>
                <w:b/>
                <w:bCs/>
                <w:sz w:val="18"/>
                <w:szCs w:val="18"/>
              </w:rPr>
              <w:t>C02</w:t>
            </w:r>
          </w:p>
        </w:tc>
        <w:tc>
          <w:tcPr>
            <w:tcW w:w="5099" w:type="dxa"/>
            <w:tcBorders>
              <w:left w:val="single" w:sz="4" w:space="0" w:color="000000"/>
              <w:bottom w:val="single" w:sz="4" w:space="0" w:color="000000"/>
              <w:right w:val="single" w:sz="4" w:space="0" w:color="000000"/>
            </w:tcBorders>
            <w:shd w:val="clear" w:color="auto" w:fill="FFFFFF" w:themeFill="background1"/>
            <w:vAlign w:val="center"/>
          </w:tcPr>
          <w:p w14:paraId="79A586B2"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710" w:type="dxa"/>
            <w:tcBorders>
              <w:left w:val="single" w:sz="4" w:space="0" w:color="000000"/>
              <w:bottom w:val="single" w:sz="4" w:space="0" w:color="000000"/>
              <w:right w:val="single" w:sz="4" w:space="0" w:color="000000"/>
            </w:tcBorders>
            <w:shd w:val="clear" w:color="auto" w:fill="FFFFFF" w:themeFill="background1"/>
            <w:vAlign w:val="center"/>
          </w:tcPr>
          <w:p w14:paraId="5E2D4A88" w14:textId="77777777" w:rsidR="006774F4" w:rsidRDefault="006774F4" w:rsidP="00AA5586">
            <w:pPr>
              <w:spacing w:after="0" w:line="254" w:lineRule="auto"/>
              <w:jc w:val="center"/>
            </w:pPr>
            <w:r>
              <w:rPr>
                <w:b/>
                <w:bCs/>
                <w:color w:val="B85C30"/>
                <w:sz w:val="18"/>
                <w:szCs w:val="18"/>
                <w:lang w:val="fr-CA"/>
              </w:rPr>
              <w:t>20,0 %</w:t>
            </w:r>
          </w:p>
        </w:tc>
        <w:tc>
          <w:tcPr>
            <w:tcW w:w="2530" w:type="dxa"/>
            <w:tcBorders>
              <w:left w:val="single" w:sz="4" w:space="0" w:color="000000"/>
              <w:bottom w:val="single" w:sz="4" w:space="0" w:color="000000"/>
              <w:right w:val="single" w:sz="4" w:space="0" w:color="000000"/>
            </w:tcBorders>
            <w:shd w:val="clear" w:color="auto" w:fill="FFFFFF" w:themeFill="background1"/>
            <w:vAlign w:val="center"/>
          </w:tcPr>
          <w:p w14:paraId="0A912498" w14:textId="77777777" w:rsidR="006774F4" w:rsidRDefault="006774F4" w:rsidP="00AA5586">
            <w:pPr>
              <w:spacing w:after="0" w:line="254" w:lineRule="auto"/>
              <w:jc w:val="center"/>
            </w:pPr>
            <w:r>
              <w:rPr>
                <w:sz w:val="18"/>
                <w:szCs w:val="18"/>
              </w:rPr>
              <w:t>Process</w:t>
            </w:r>
          </w:p>
        </w:tc>
      </w:tr>
    </w:tbl>
    <w:p w14:paraId="08518FA1" w14:textId="77777777" w:rsidR="006774F4" w:rsidRPr="006774F4" w:rsidRDefault="006774F4" w:rsidP="006774F4">
      <w:pPr>
        <w:pStyle w:val="Heading2"/>
        <w:rPr>
          <w:lang w:val="fr-FR"/>
        </w:rPr>
      </w:pPr>
      <w:bookmarkStart w:id="181" w:name="__RefHeading___Toc4959_3048004937"/>
      <w:bookmarkStart w:id="182" w:name="_Toc239750734"/>
      <w:bookmarkEnd w:id="181"/>
      <w:r>
        <w:rPr>
          <w:lang w:val="fr-CA"/>
        </w:rPr>
        <w:t xml:space="preserve">Ce qu’une intervention de Clarity </w:t>
      </w:r>
      <w:proofErr w:type="spellStart"/>
      <w:r>
        <w:rPr>
          <w:lang w:val="fr-CA"/>
        </w:rPr>
        <w:t>Builders</w:t>
      </w:r>
      <w:proofErr w:type="spellEnd"/>
      <w:r>
        <w:rPr>
          <w:lang w:val="fr-CA"/>
        </w:rPr>
        <w:t xml:space="preserve"> aurait permis d’aborder</w:t>
      </w:r>
      <w:bookmarkEnd w:id="182"/>
    </w:p>
    <w:p w14:paraId="3BFFB9C7" w14:textId="77777777" w:rsidR="006774F4" w:rsidRPr="006774F4" w:rsidRDefault="006774F4" w:rsidP="006774F4">
      <w:pPr>
        <w:pStyle w:val="ListParagraph"/>
        <w:numPr>
          <w:ilvl w:val="0"/>
          <w:numId w:val="24"/>
        </w:numPr>
        <w:spacing w:after="100" w:line="276" w:lineRule="auto"/>
        <w:contextualSpacing w:val="0"/>
        <w:rPr>
          <w:sz w:val="21"/>
          <w:szCs w:val="21"/>
          <w:lang w:val="fr-FR"/>
        </w:rPr>
      </w:pPr>
      <w:r w:rsidRPr="006774F4">
        <w:rPr>
          <w:b/>
          <w:bCs/>
          <w:color w:val="1B3A6B"/>
          <w:sz w:val="21"/>
          <w:szCs w:val="21"/>
          <w:lang w:val="en-US"/>
        </w:rPr>
        <w:t xml:space="preserve">5.12 Classification and cost-data alignment.  </w:t>
      </w:r>
      <w:r>
        <w:rPr>
          <w:sz w:val="21"/>
          <w:szCs w:val="21"/>
          <w:lang w:val="fr-CA"/>
        </w:rPr>
        <w:t>Voilà l’ensemble du constat. Un système de classification existait, il avait été intégré à la réglementation, mais il n’a pas été utilisé pour établir le chiffre qu’il devait encadrer.</w:t>
      </w:r>
    </w:p>
    <w:p w14:paraId="5C86DA2A" w14:textId="77777777" w:rsidR="006774F4" w:rsidRPr="006774F4" w:rsidRDefault="006774F4" w:rsidP="006774F4">
      <w:pPr>
        <w:pStyle w:val="Heading2"/>
        <w:rPr>
          <w:lang w:val="fr-FR"/>
        </w:rPr>
      </w:pPr>
      <w:bookmarkStart w:id="183" w:name="__RefHeading___Toc4961_3048004937"/>
      <w:bookmarkStart w:id="184" w:name="_Toc239750735"/>
      <w:bookmarkEnd w:id="183"/>
      <w:r>
        <w:rPr>
          <w:lang w:val="fr-CA"/>
        </w:rPr>
        <w:t>Scénario illustratif</w:t>
      </w:r>
      <w:bookmarkEnd w:id="184"/>
    </w:p>
    <w:p w14:paraId="3C6C530D" w14:textId="77777777" w:rsidR="006774F4" w:rsidRPr="006774F4" w:rsidRDefault="006774F4" w:rsidP="006774F4">
      <w:pPr>
        <w:rPr>
          <w:lang w:val="fr-FR"/>
        </w:rPr>
      </w:pPr>
      <w:r>
        <w:rPr>
          <w:lang w:val="fr-CA"/>
        </w:rPr>
        <w:t>L’écart de 20,6 millions de dollars entre le seuil inférieur et le seuil supérieur de la plage applicable est le résultat du calcul du vérificateur, et non du nôtre.</w:t>
      </w:r>
    </w:p>
    <w:p w14:paraId="22BAF2BD" w14:textId="77777777" w:rsidR="006774F4" w:rsidRPr="006774F4" w:rsidRDefault="006774F4" w:rsidP="006774F4">
      <w:pPr>
        <w:rPr>
          <w:lang w:val="fr-FR"/>
        </w:rPr>
      </w:pPr>
      <w:r>
        <w:rPr>
          <w:lang w:val="fr-CA"/>
        </w:rPr>
        <w:t>L’intérêt illustratif de ce cas tient à la simplicité de la correction. L’optimisme dans les estimations de coûts apparaît dans 20,0 % des entrées canadiennes du registre. Ici, ce problème apparaît seul, dans une organisation que le vérificateur juge par ailleurs favorablement, et la correction consiste simplement à appliquer une norme de classification déjà adoptée par la province. La plupart des cas de ce livre ne sont pas à une seule correction d’un fonctionnement rigoureux. Celui-ci, oui.</w:t>
      </w:r>
    </w:p>
    <w:p w14:paraId="78FF0E67" w14:textId="77777777" w:rsidR="006774F4" w:rsidRPr="006774F4" w:rsidRDefault="006774F4" w:rsidP="006774F4">
      <w:pPr>
        <w:pStyle w:val="Heading2"/>
        <w:spacing w:after="50"/>
        <w:rPr>
          <w:lang w:val="fr-FR"/>
        </w:rPr>
      </w:pPr>
      <w:bookmarkStart w:id="185" w:name="__RefHeading___Toc4963_3048004937"/>
      <w:bookmarkEnd w:id="185"/>
      <w:r>
        <w:rPr>
          <w:lang w:val="fr-CA"/>
        </w:rPr>
        <w:t>Contrefactuel</w:t>
      </w:r>
    </w:p>
    <w:p w14:paraId="6BD88C23"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 xml:space="preserve">Nous n’affirmons pas que </w:t>
      </w:r>
      <w:proofErr w:type="spellStart"/>
      <w:r>
        <w:rPr>
          <w:sz w:val="21"/>
          <w:szCs w:val="21"/>
          <w:lang w:val="fr-CA"/>
        </w:rPr>
        <w:t>SaskPower</w:t>
      </w:r>
      <w:proofErr w:type="spellEnd"/>
      <w:r>
        <w:rPr>
          <w:sz w:val="21"/>
          <w:szCs w:val="21"/>
          <w:lang w:val="fr-CA"/>
        </w:rPr>
        <w:t xml:space="preserve"> a mal géré la mise hors service. Sur tous les autres critères, le vérificateur a conclu le contraire.</w:t>
      </w:r>
    </w:p>
    <w:p w14:paraId="6D850B54"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qu’une provision pour éventualités fixée au bas d’une plage réglementaire, sans utiliser le système de classification qui permet de déterminer sa position dans cette plage, repose sur une estimation de coûts qui n’a pas été adéquatement mise à l’épreuve.</w:t>
      </w:r>
    </w:p>
    <w:p w14:paraId="24109605" w14:textId="77777777" w:rsidR="006774F4" w:rsidRPr="006774F4" w:rsidRDefault="006774F4" w:rsidP="006774F4">
      <w:pPr>
        <w:pStyle w:val="Heading1"/>
        <w:spacing w:before="380" w:after="170" w:line="290" w:lineRule="auto"/>
        <w:rPr>
          <w:b/>
          <w:bCs/>
          <w:color w:val="1B3A6B"/>
          <w:sz w:val="28"/>
          <w:szCs w:val="28"/>
          <w:lang w:val="fr-FR"/>
        </w:rPr>
      </w:pPr>
      <w:bookmarkStart w:id="186" w:name="__RefHeading___Toc4965_3048004937"/>
      <w:bookmarkStart w:id="187" w:name="_Toc239750736"/>
      <w:bookmarkEnd w:id="186"/>
      <w:r>
        <w:rPr>
          <w:b/>
          <w:bCs/>
          <w:color w:val="1B3A6B"/>
          <w:sz w:val="28"/>
          <w:szCs w:val="28"/>
          <w:lang w:val="fr-CA"/>
        </w:rPr>
        <w:t>Cas 15.  Logements sociaux au Nunavut</w:t>
      </w:r>
      <w:bookmarkEnd w:id="187"/>
    </w:p>
    <w:p w14:paraId="2B580513" w14:textId="77777777" w:rsidR="006774F4" w:rsidRPr="006774F4" w:rsidRDefault="006774F4" w:rsidP="006774F4">
      <w:pPr>
        <w:spacing w:after="150" w:line="290" w:lineRule="auto"/>
        <w:rPr>
          <w:b/>
          <w:bCs/>
          <w:color w:val="auto"/>
          <w:lang w:val="fr-FR"/>
        </w:rPr>
      </w:pPr>
      <w:r>
        <w:rPr>
          <w:b/>
          <w:bCs/>
          <w:color w:val="auto"/>
          <w:lang w:val="fr-CA"/>
        </w:rPr>
        <w:t>Détails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2EEB3FAC" w14:textId="77777777" w:rsidTr="00AA5586">
        <w:trPr>
          <w:cantSplit/>
          <w:trHeight w:val="600"/>
        </w:trPr>
        <w:tc>
          <w:tcPr>
            <w:tcW w:w="2700" w:type="dxa"/>
            <w:tcBorders>
              <w:bottom w:val="single" w:sz="4" w:space="0" w:color="000000"/>
            </w:tcBorders>
            <w:shd w:val="clear" w:color="auto" w:fill="E2E8F0"/>
            <w:vAlign w:val="center"/>
          </w:tcPr>
          <w:p w14:paraId="6AC779C6" w14:textId="77777777" w:rsidR="006774F4" w:rsidRDefault="006774F4" w:rsidP="00AA5586">
            <w:pPr>
              <w:spacing w:after="0" w:line="254" w:lineRule="auto"/>
              <w:jc w:val="center"/>
            </w:pPr>
            <w:r>
              <w:rPr>
                <w:b/>
                <w:bCs/>
                <w:color w:val="1B3A6B"/>
                <w:sz w:val="19"/>
                <w:szCs w:val="19"/>
                <w:lang w:val="fr-CA"/>
              </w:rPr>
              <w:lastRenderedPageBreak/>
              <w:t>ID du registre</w:t>
            </w:r>
          </w:p>
        </w:tc>
        <w:tc>
          <w:tcPr>
            <w:tcW w:w="7539" w:type="dxa"/>
            <w:tcBorders>
              <w:bottom w:val="single" w:sz="4" w:space="0" w:color="000000"/>
            </w:tcBorders>
            <w:shd w:val="clear" w:color="auto" w:fill="F2F4F7"/>
            <w:vAlign w:val="center"/>
          </w:tcPr>
          <w:p w14:paraId="019792E6" w14:textId="77777777" w:rsidR="006774F4" w:rsidRDefault="006774F4" w:rsidP="00AA5586">
            <w:pPr>
              <w:spacing w:after="0" w:line="254" w:lineRule="auto"/>
              <w:jc w:val="center"/>
              <w:rPr>
                <w:b/>
                <w:bCs/>
                <w:sz w:val="19"/>
                <w:szCs w:val="19"/>
              </w:rPr>
            </w:pPr>
            <w:r>
              <w:rPr>
                <w:b/>
                <w:bCs/>
                <w:sz w:val="19"/>
                <w:szCs w:val="19"/>
              </w:rPr>
              <w:t>OAG Public</w:t>
            </w:r>
          </w:p>
        </w:tc>
      </w:tr>
      <w:tr w:rsidR="006774F4" w:rsidRPr="007B50E3" w14:paraId="6DD93DB2"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1F67338" w14:textId="77777777" w:rsidR="006774F4" w:rsidRDefault="006774F4" w:rsidP="00AA5586">
            <w:pPr>
              <w:spacing w:after="0" w:line="254" w:lineRule="auto"/>
              <w:jc w:val="center"/>
            </w:pPr>
            <w:r>
              <w:rPr>
                <w:b/>
                <w:bCs/>
                <w:color w:val="1B3A6B"/>
                <w:sz w:val="19"/>
                <w:szCs w:val="19"/>
                <w:lang w:val="fr-CA"/>
              </w:rPr>
              <w:t>Administration</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6AEE022" w14:textId="77777777" w:rsidR="006774F4" w:rsidRPr="006774F4" w:rsidRDefault="006774F4" w:rsidP="00AA5586">
            <w:pPr>
              <w:spacing w:after="0" w:line="254" w:lineRule="auto"/>
              <w:rPr>
                <w:lang w:val="fr-FR"/>
              </w:rPr>
            </w:pPr>
            <w:proofErr w:type="gramStart"/>
            <w:r>
              <w:rPr>
                <w:sz w:val="19"/>
                <w:szCs w:val="19"/>
                <w:lang w:val="fr-CA"/>
              </w:rPr>
              <w:t>Nunavut  ·</w:t>
            </w:r>
            <w:proofErr w:type="gramEnd"/>
            <w:r>
              <w:rPr>
                <w:sz w:val="19"/>
                <w:szCs w:val="19"/>
                <w:lang w:val="fr-CA"/>
              </w:rPr>
              <w:t xml:space="preserve">  Audit d’optimisation des ressources par le vérificateur législatif</w:t>
            </w:r>
          </w:p>
        </w:tc>
      </w:tr>
      <w:tr w:rsidR="006774F4" w:rsidRPr="006774F4" w14:paraId="50DFF9E5"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220C6CE"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E77B176" w14:textId="77777777" w:rsidR="006774F4" w:rsidRPr="006774F4" w:rsidRDefault="006774F4" w:rsidP="00AA5586">
            <w:pPr>
              <w:spacing w:after="0" w:line="254" w:lineRule="auto"/>
              <w:rPr>
                <w:lang w:val="fr-FR"/>
              </w:rPr>
            </w:pPr>
            <w:r>
              <w:rPr>
                <w:sz w:val="19"/>
                <w:szCs w:val="19"/>
                <w:lang w:val="fr-CA"/>
              </w:rPr>
              <w:t>Bureau du vérificateur général du Canada, rapport à l’Assemblée législative du Nunavut</w:t>
            </w:r>
          </w:p>
        </w:tc>
      </w:tr>
      <w:tr w:rsidR="006774F4" w:rsidRPr="006774F4" w14:paraId="7F38F5D9"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B82B41D" w14:textId="77777777" w:rsidR="006774F4" w:rsidRDefault="006774F4" w:rsidP="00AA5586">
            <w:pPr>
              <w:spacing w:after="0" w:line="254" w:lineRule="auto"/>
              <w:jc w:val="center"/>
            </w:pPr>
            <w:r>
              <w:rPr>
                <w:b/>
                <w:bCs/>
                <w:color w:val="1B3A6B"/>
                <w:sz w:val="19"/>
                <w:szCs w:val="19"/>
                <w:lang w:val="fr-CA"/>
              </w:rPr>
              <w:t>Rapport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04481EC" w14:textId="77777777" w:rsidR="006774F4" w:rsidRPr="006774F4" w:rsidRDefault="006774F4" w:rsidP="00AA5586">
            <w:pPr>
              <w:spacing w:after="0" w:line="254" w:lineRule="auto"/>
              <w:rPr>
                <w:lang w:val="fr-FR"/>
              </w:rPr>
            </w:pPr>
            <w:r>
              <w:rPr>
                <w:sz w:val="19"/>
                <w:szCs w:val="19"/>
                <w:lang w:val="fr-CA"/>
              </w:rPr>
              <w:t>Rapport du vérificateur général du Canada à l’Assemblée législative du Nunavut — Logements sociaux au Nunavut, 2025</w:t>
            </w:r>
          </w:p>
        </w:tc>
      </w:tr>
      <w:tr w:rsidR="006774F4" w14:paraId="7B4E0755"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473C9219" w14:textId="77777777" w:rsidR="006774F4" w:rsidRDefault="006774F4" w:rsidP="00AA5586">
            <w:pPr>
              <w:spacing w:after="0" w:line="254" w:lineRule="auto"/>
              <w:jc w:val="center"/>
            </w:pPr>
            <w:r>
              <w:rPr>
                <w:b/>
                <w:bCs/>
                <w:color w:val="1B3A6B"/>
                <w:sz w:val="19"/>
                <w:szCs w:val="19"/>
                <w:lang w:val="fr-CA"/>
              </w:rPr>
              <w:t>Catégorie d’actifs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9BDA41E" w14:textId="77777777" w:rsidR="006774F4" w:rsidRDefault="006774F4" w:rsidP="00AA5586">
            <w:pPr>
              <w:spacing w:after="0" w:line="254" w:lineRule="auto"/>
            </w:pPr>
            <w:r>
              <w:rPr>
                <w:sz w:val="19"/>
                <w:szCs w:val="19"/>
                <w:lang w:val="fr-CA"/>
              </w:rPr>
              <w:t>Logement</w:t>
            </w:r>
          </w:p>
        </w:tc>
      </w:tr>
      <w:tr w:rsidR="006774F4" w:rsidRPr="006774F4" w14:paraId="0AD06F01"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B7C5291"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B788D45" w14:textId="77777777" w:rsidR="006774F4" w:rsidRPr="006774F4" w:rsidRDefault="006774F4" w:rsidP="00AA5586">
            <w:pPr>
              <w:spacing w:after="0" w:line="254" w:lineRule="auto"/>
              <w:rPr>
                <w:lang w:val="fr-FR"/>
              </w:rPr>
            </w:pPr>
            <w:r>
              <w:rPr>
                <w:sz w:val="19"/>
                <w:szCs w:val="19"/>
                <w:lang w:val="fr-CA"/>
              </w:rPr>
              <w:t>1,2 milliard de dollars estimé pour l’engagement de livrer 1 400 logements sociaux</w:t>
            </w:r>
          </w:p>
        </w:tc>
      </w:tr>
      <w:tr w:rsidR="006774F4" w:rsidRPr="006774F4" w14:paraId="57C044F5"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93F323B" w14:textId="77777777" w:rsidR="006774F4" w:rsidRDefault="006774F4" w:rsidP="00AA5586">
            <w:pPr>
              <w:spacing w:after="0" w:line="254" w:lineRule="auto"/>
              <w:jc w:val="center"/>
            </w:pPr>
            <w:r>
              <w:rPr>
                <w:b/>
                <w:bCs/>
                <w:color w:val="1B3A6B"/>
                <w:sz w:val="19"/>
                <w:szCs w:val="19"/>
                <w:lang w:val="fr-CA"/>
              </w:rPr>
              <w:t>Bilan des coûts</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876FC78" w14:textId="77777777" w:rsidR="006774F4" w:rsidRPr="006774F4" w:rsidRDefault="006774F4" w:rsidP="00AA5586">
            <w:pPr>
              <w:spacing w:after="0" w:line="254" w:lineRule="auto"/>
              <w:rPr>
                <w:lang w:val="fr-FR"/>
              </w:rPr>
            </w:pPr>
            <w:r>
              <w:rPr>
                <w:sz w:val="19"/>
                <w:szCs w:val="19"/>
                <w:lang w:val="fr-CA"/>
              </w:rPr>
              <w:t>Non quantifié comme un dépassement. En décembre 2024, 221 unités avaient été achevées sur les 1 400 prévues.</w:t>
            </w:r>
          </w:p>
        </w:tc>
      </w:tr>
      <w:tr w:rsidR="006774F4" w14:paraId="7643CDB7"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6226225" w14:textId="77777777" w:rsidR="006774F4" w:rsidRDefault="006774F4" w:rsidP="00AA5586">
            <w:pPr>
              <w:spacing w:after="0" w:line="254" w:lineRule="auto"/>
              <w:jc w:val="center"/>
            </w:pPr>
            <w:r>
              <w:rPr>
                <w:b/>
                <w:bCs/>
                <w:color w:val="1B3A6B"/>
                <w:sz w:val="19"/>
                <w:szCs w:val="19"/>
                <w:lang w:val="fr-CA"/>
              </w:rPr>
              <w:t>Bilan de l’échéancier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01BD192" w14:textId="77777777" w:rsidR="006774F4" w:rsidRDefault="006774F4" w:rsidP="00AA5586">
            <w:pPr>
              <w:spacing w:after="0" w:line="254" w:lineRule="auto"/>
            </w:pPr>
            <w:r>
              <w:rPr>
                <w:sz w:val="19"/>
                <w:szCs w:val="19"/>
                <w:lang w:val="fr-CA"/>
              </w:rPr>
              <w:t>Seulement 18 unités, soit 12 % de celles déclarées, étaient prêtes à être occupées. Les 132 autres, soit 88 %, étaient toujours en construction.</w:t>
            </w:r>
          </w:p>
        </w:tc>
      </w:tr>
      <w:tr w:rsidR="006774F4" w14:paraId="6CA76143"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237D31A"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2AA5C65" w14:textId="77777777" w:rsidR="006774F4" w:rsidRDefault="006774F4" w:rsidP="00AA5586">
            <w:pPr>
              <w:spacing w:after="0" w:line="254" w:lineRule="auto"/>
            </w:pPr>
            <w:r>
              <w:rPr>
                <w:sz w:val="19"/>
                <w:szCs w:val="19"/>
              </w:rPr>
              <w:t>C07, C12</w:t>
            </w:r>
          </w:p>
        </w:tc>
      </w:tr>
      <w:tr w:rsidR="006774F4" w14:paraId="074D028A" w14:textId="77777777" w:rsidTr="00AA5586">
        <w:trPr>
          <w:cantSplit/>
          <w:trHeight w:val="6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C4B279F" w14:textId="77777777" w:rsidR="006774F4" w:rsidRDefault="006774F4" w:rsidP="00AA5586">
            <w:pPr>
              <w:spacing w:after="0" w:line="254" w:lineRule="auto"/>
              <w:jc w:val="center"/>
            </w:pPr>
            <w:r>
              <w:rPr>
                <w:b/>
                <w:bCs/>
                <w:color w:val="1B3A6B"/>
                <w:sz w:val="19"/>
                <w:szCs w:val="19"/>
                <w:lang w:val="fr-CA"/>
              </w:rPr>
              <w:t>Dimensions CB</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A3BE857" w14:textId="77777777" w:rsidR="006774F4" w:rsidRDefault="006774F4" w:rsidP="00AA5586">
            <w:pPr>
              <w:spacing w:after="0" w:line="254" w:lineRule="auto"/>
              <w:rPr>
                <w:color w:val="auto"/>
                <w:sz w:val="19"/>
                <w:szCs w:val="19"/>
              </w:rPr>
            </w:pPr>
            <w:r>
              <w:rPr>
                <w:color w:val="auto"/>
                <w:sz w:val="19"/>
                <w:szCs w:val="19"/>
              </w:rPr>
              <w:t>Governance, Technology</w:t>
            </w:r>
          </w:p>
        </w:tc>
      </w:tr>
    </w:tbl>
    <w:p w14:paraId="30670CB3" w14:textId="77777777" w:rsidR="006774F4" w:rsidRDefault="006774F4" w:rsidP="006774F4">
      <w:pPr>
        <w:pStyle w:val="Heading2"/>
      </w:pPr>
      <w:bookmarkStart w:id="188" w:name="__RefHeading___Toc4967_3048004937"/>
      <w:bookmarkStart w:id="189" w:name="_Toc239750737"/>
      <w:bookmarkEnd w:id="188"/>
      <w:r>
        <w:rPr>
          <w:lang w:val="fr-CA"/>
        </w:rPr>
        <w:t>Ce qui s’est passé</w:t>
      </w:r>
      <w:bookmarkEnd w:id="189"/>
    </w:p>
    <w:p w14:paraId="7C5EFB14" w14:textId="77777777" w:rsidR="006774F4" w:rsidRPr="006774F4" w:rsidRDefault="006774F4" w:rsidP="006774F4">
      <w:pPr>
        <w:rPr>
          <w:lang w:val="fr-FR"/>
        </w:rPr>
      </w:pPr>
      <w:r>
        <w:rPr>
          <w:lang w:val="fr-CA"/>
        </w:rPr>
        <w:t>Le Nunavut s’est engagé à livrer 1 400 logements sociaux pour un coût estimé de 1,2 milliard de dollars. En décembre 2024, 221 unités étaient achevées et, parmi celles déclarées durant la période la plus récente, seulement 12 % étaient prêtes à être occupées.</w:t>
      </w:r>
    </w:p>
    <w:p w14:paraId="62D3161D" w14:textId="77777777" w:rsidR="006774F4" w:rsidRPr="006774F4" w:rsidRDefault="006774F4" w:rsidP="006774F4">
      <w:pPr>
        <w:rPr>
          <w:lang w:val="fr-FR"/>
        </w:rPr>
      </w:pPr>
      <w:r>
        <w:rPr>
          <w:lang w:val="fr-CA"/>
        </w:rPr>
        <w:t>Le constat le plus important de ce livre tient en une ligne. La Société d’habitation du Nunavut n’avait attribué aucun numéro ou identifiant unique à chaque logement social afin qu’il puisse être utilisé de façon cohérente dans l’ensemble de ses systèmes d’information.</w:t>
      </w:r>
    </w:p>
    <w:p w14:paraId="57044D72" w14:textId="77777777" w:rsidR="006774F4" w:rsidRPr="006774F4" w:rsidRDefault="006774F4" w:rsidP="006774F4">
      <w:pPr>
        <w:rPr>
          <w:lang w:val="fr-FR"/>
        </w:rPr>
      </w:pPr>
      <w:r>
        <w:rPr>
          <w:lang w:val="fr-CA"/>
        </w:rPr>
        <w:t>Tout le reste en découle. Les inspections dataient en moyenne de six ans. Environ le tiers des logements n’avaient fait l’objet d’aucun entretien préventif. Quarante-cinq pour cent des quelque 6 000 logements étaient surpeuplés. Une organisation qui ne peut identifier un logement de façon uniforme dans ses différents systèmes ne peut planifier son entretien avec fiabilité, suivre l’ancienneté de ses données sur l’état des biens ni rendre compte correctement de son parc.</w:t>
      </w:r>
    </w:p>
    <w:p w14:paraId="5B1BF25E" w14:textId="77777777" w:rsidR="006774F4" w:rsidRDefault="006774F4" w:rsidP="006774F4">
      <w:pPr>
        <w:pStyle w:val="Heading2"/>
        <w:spacing w:after="110"/>
      </w:pPr>
      <w:bookmarkStart w:id="190" w:name="__RefHeading___Toc4969_3048004937"/>
      <w:bookmarkStart w:id="191" w:name="_Toc239750738"/>
      <w:bookmarkEnd w:id="190"/>
      <w:r>
        <w:rPr>
          <w:lang w:val="fr-CA"/>
        </w:rPr>
        <w:lastRenderedPageBreak/>
        <w:t>Constats du rapport</w:t>
      </w:r>
      <w:bookmarkEnd w:id="191"/>
    </w:p>
    <w:p w14:paraId="5A2DE5D3" w14:textId="77777777" w:rsidR="006774F4" w:rsidRPr="006774F4" w:rsidRDefault="006774F4" w:rsidP="006774F4">
      <w:pPr>
        <w:pStyle w:val="ListParagraph"/>
        <w:numPr>
          <w:ilvl w:val="0"/>
          <w:numId w:val="32"/>
        </w:numPr>
        <w:spacing w:after="100" w:line="276" w:lineRule="auto"/>
        <w:contextualSpacing w:val="0"/>
        <w:rPr>
          <w:lang w:val="fr-FR"/>
        </w:rPr>
      </w:pPr>
      <w:r>
        <w:rPr>
          <w:sz w:val="21"/>
          <w:szCs w:val="21"/>
          <w:lang w:val="fr-CA"/>
        </w:rPr>
        <w:t>« La Société d’habitation du Nunavut s’est engagée à livrer 1 400 logements sociaux pour un coût estimé de 1,2 milliard de dollars »</w:t>
      </w:r>
    </w:p>
    <w:p w14:paraId="2DD6BC26" w14:textId="77777777" w:rsidR="006774F4" w:rsidRPr="006774F4" w:rsidRDefault="006774F4" w:rsidP="006774F4">
      <w:pPr>
        <w:pStyle w:val="ListParagraph"/>
        <w:numPr>
          <w:ilvl w:val="0"/>
          <w:numId w:val="32"/>
        </w:numPr>
        <w:spacing w:after="100" w:line="276" w:lineRule="auto"/>
        <w:contextualSpacing w:val="0"/>
        <w:rPr>
          <w:lang w:val="fr-FR"/>
        </w:rPr>
      </w:pPr>
      <w:r>
        <w:rPr>
          <w:sz w:val="21"/>
          <w:szCs w:val="21"/>
          <w:lang w:val="fr-CA"/>
        </w:rPr>
        <w:t>« Au 31 mars 2024, les inspections dataient en moyenne de six ans »</w:t>
      </w:r>
    </w:p>
    <w:p w14:paraId="21FCD83F" w14:textId="77777777" w:rsidR="006774F4" w:rsidRPr="006774F4" w:rsidRDefault="006774F4" w:rsidP="006774F4">
      <w:pPr>
        <w:pStyle w:val="ListParagraph"/>
        <w:numPr>
          <w:ilvl w:val="0"/>
          <w:numId w:val="32"/>
        </w:numPr>
        <w:spacing w:after="100" w:line="276" w:lineRule="auto"/>
        <w:contextualSpacing w:val="0"/>
        <w:rPr>
          <w:lang w:val="fr-FR"/>
        </w:rPr>
      </w:pPr>
      <w:r>
        <w:rPr>
          <w:sz w:val="21"/>
          <w:szCs w:val="21"/>
          <w:lang w:val="fr-CA"/>
        </w:rPr>
        <w:t>« La Société d’habitation du Nunavut n’avait pas attribué à chaque logement social un numéro ou un identifiant unique pouvant être utilisé dans l’ensemble des systèmes d’information »</w:t>
      </w:r>
    </w:p>
    <w:p w14:paraId="7C00A593" w14:textId="77777777" w:rsidR="006774F4" w:rsidRPr="006774F4" w:rsidRDefault="006774F4" w:rsidP="006774F4">
      <w:pPr>
        <w:pStyle w:val="ListParagraph"/>
        <w:numPr>
          <w:ilvl w:val="0"/>
          <w:numId w:val="32"/>
        </w:numPr>
        <w:spacing w:after="100" w:line="276" w:lineRule="auto"/>
        <w:contextualSpacing w:val="0"/>
        <w:rPr>
          <w:lang w:val="fr-FR"/>
        </w:rPr>
      </w:pPr>
      <w:r>
        <w:rPr>
          <w:sz w:val="21"/>
          <w:szCs w:val="21"/>
          <w:lang w:val="fr-CA"/>
        </w:rPr>
        <w:t>« Environ le tiers des logements sociaux n’avaient fait l’objet d’aucun entretien préventif »</w:t>
      </w:r>
    </w:p>
    <w:p w14:paraId="3FDCFD8D" w14:textId="77777777" w:rsidR="006774F4" w:rsidRPr="006774F4" w:rsidRDefault="006774F4" w:rsidP="006774F4">
      <w:pPr>
        <w:pStyle w:val="ListParagraph"/>
        <w:numPr>
          <w:ilvl w:val="0"/>
          <w:numId w:val="32"/>
        </w:numPr>
        <w:spacing w:after="100" w:line="276" w:lineRule="auto"/>
        <w:contextualSpacing w:val="0"/>
        <w:rPr>
          <w:lang w:val="fr-FR"/>
        </w:rPr>
      </w:pPr>
      <w:r>
        <w:rPr>
          <w:sz w:val="21"/>
          <w:szCs w:val="21"/>
          <w:lang w:val="fr-CA"/>
        </w:rPr>
        <w:t>45 % des unités étaient surpeuplées dans un parc comptant près de 6 000 logements sociaux</w:t>
      </w:r>
    </w:p>
    <w:p w14:paraId="1BF7DB86" w14:textId="77777777" w:rsidR="006774F4" w:rsidRDefault="006774F4" w:rsidP="006774F4">
      <w:pPr>
        <w:pStyle w:val="Heading2"/>
      </w:pPr>
      <w:bookmarkStart w:id="192" w:name="__RefHeading___Toc4971_3048004937"/>
      <w:bookmarkEnd w:id="192"/>
      <w:r>
        <w:rPr>
          <w:lang w:val="fr-CA"/>
        </w:rPr>
        <w:t>Codes du projet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65"/>
        <w:gridCol w:w="2575"/>
      </w:tblGrid>
      <w:tr w:rsidR="006774F4" w14:paraId="22AC0C7C" w14:textId="77777777" w:rsidTr="00AA5586">
        <w:trPr>
          <w:cantSplit/>
          <w:tblHeader/>
        </w:trPr>
        <w:tc>
          <w:tcPr>
            <w:tcW w:w="900" w:type="dxa"/>
            <w:shd w:val="clear" w:color="auto" w:fill="1B3A6B"/>
            <w:vAlign w:val="center"/>
          </w:tcPr>
          <w:p w14:paraId="0EAD5A3B"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shd w:val="clear" w:color="auto" w:fill="1B3A6B"/>
          </w:tcPr>
          <w:p w14:paraId="2B6B45E7" w14:textId="77777777" w:rsidR="006774F4" w:rsidRDefault="006774F4" w:rsidP="00AA5586">
            <w:pPr>
              <w:spacing w:after="0" w:line="254" w:lineRule="auto"/>
              <w:jc w:val="center"/>
            </w:pPr>
            <w:r>
              <w:rPr>
                <w:b/>
                <w:bCs/>
                <w:caps/>
                <w:color w:val="FFFFFF"/>
                <w:spacing w:val="16"/>
                <w:sz w:val="18"/>
                <w:szCs w:val="18"/>
                <w:lang w:val="fr-CA"/>
              </w:rPr>
              <w:t>Cause</w:t>
            </w:r>
          </w:p>
        </w:tc>
        <w:tc>
          <w:tcPr>
            <w:tcW w:w="1665" w:type="dxa"/>
            <w:shd w:val="clear" w:color="auto" w:fill="1B3A6B"/>
          </w:tcPr>
          <w:p w14:paraId="4D6578CC"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75" w:type="dxa"/>
            <w:shd w:val="clear" w:color="auto" w:fill="1B3A6B"/>
          </w:tcPr>
          <w:p w14:paraId="48D807B2"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076D62B4" w14:textId="77777777" w:rsidTr="00AA5586">
        <w:trPr>
          <w:cantSplit/>
        </w:trPr>
        <w:tc>
          <w:tcPr>
            <w:tcW w:w="900" w:type="dxa"/>
            <w:tcBorders>
              <w:left w:val="single" w:sz="4" w:space="0" w:color="000000"/>
              <w:bottom w:val="single" w:sz="4" w:space="0" w:color="000000"/>
              <w:right w:val="single" w:sz="4" w:space="0" w:color="000000"/>
            </w:tcBorders>
            <w:shd w:val="clear" w:color="auto" w:fill="FFFFFF" w:themeFill="background1"/>
            <w:vAlign w:val="center"/>
          </w:tcPr>
          <w:p w14:paraId="3D67BC33" w14:textId="77777777" w:rsidR="006774F4" w:rsidRDefault="006774F4" w:rsidP="00AA5586">
            <w:pPr>
              <w:spacing w:after="0" w:line="254" w:lineRule="auto"/>
              <w:jc w:val="center"/>
            </w:pPr>
            <w:r>
              <w:rPr>
                <w:b/>
                <w:bCs/>
                <w:sz w:val="18"/>
                <w:szCs w:val="18"/>
              </w:rPr>
              <w:t>C07</w:t>
            </w:r>
          </w:p>
        </w:tc>
        <w:tc>
          <w:tcPr>
            <w:tcW w:w="5099" w:type="dxa"/>
            <w:tcBorders>
              <w:left w:val="single" w:sz="4" w:space="0" w:color="000000"/>
              <w:bottom w:val="single" w:sz="4" w:space="0" w:color="000000"/>
              <w:right w:val="single" w:sz="4" w:space="0" w:color="000000"/>
            </w:tcBorders>
            <w:shd w:val="clear" w:color="auto" w:fill="FFFFFF" w:themeFill="background1"/>
            <w:vAlign w:val="center"/>
          </w:tcPr>
          <w:p w14:paraId="4FABD17C"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665" w:type="dxa"/>
            <w:tcBorders>
              <w:left w:val="single" w:sz="4" w:space="0" w:color="000000"/>
              <w:bottom w:val="single" w:sz="4" w:space="0" w:color="000000"/>
              <w:right w:val="single" w:sz="4" w:space="0" w:color="000000"/>
            </w:tcBorders>
            <w:shd w:val="clear" w:color="auto" w:fill="FFFFFF" w:themeFill="background1"/>
            <w:vAlign w:val="center"/>
          </w:tcPr>
          <w:p w14:paraId="0D905D8A" w14:textId="77777777" w:rsidR="006774F4" w:rsidRDefault="006774F4" w:rsidP="00AA5586">
            <w:pPr>
              <w:spacing w:after="0" w:line="254" w:lineRule="auto"/>
              <w:jc w:val="center"/>
            </w:pPr>
            <w:r>
              <w:rPr>
                <w:b/>
                <w:bCs/>
                <w:color w:val="B85C30"/>
                <w:sz w:val="18"/>
                <w:szCs w:val="18"/>
                <w:lang w:val="fr-CA"/>
              </w:rPr>
              <w:t>29,1 %</w:t>
            </w:r>
          </w:p>
        </w:tc>
        <w:tc>
          <w:tcPr>
            <w:tcW w:w="2575" w:type="dxa"/>
            <w:tcBorders>
              <w:left w:val="single" w:sz="4" w:space="0" w:color="000000"/>
              <w:bottom w:val="single" w:sz="4" w:space="0" w:color="000000"/>
              <w:right w:val="single" w:sz="4" w:space="0" w:color="000000"/>
            </w:tcBorders>
            <w:shd w:val="clear" w:color="auto" w:fill="FFFFFF" w:themeFill="background1"/>
            <w:vAlign w:val="center"/>
          </w:tcPr>
          <w:p w14:paraId="7661224A" w14:textId="77777777" w:rsidR="006774F4" w:rsidRDefault="006774F4" w:rsidP="00AA5586">
            <w:pPr>
              <w:spacing w:after="0" w:line="254" w:lineRule="auto"/>
              <w:jc w:val="center"/>
            </w:pPr>
            <w:r>
              <w:rPr>
                <w:sz w:val="18"/>
                <w:szCs w:val="18"/>
              </w:rPr>
              <w:t>Technology</w:t>
            </w:r>
          </w:p>
        </w:tc>
      </w:tr>
      <w:tr w:rsidR="006774F4" w14:paraId="499C77B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A704393"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DD0A04"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66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DD5E3FE" w14:textId="77777777" w:rsidR="006774F4" w:rsidRDefault="006774F4" w:rsidP="00AA5586">
            <w:pPr>
              <w:spacing w:after="0" w:line="254" w:lineRule="auto"/>
              <w:jc w:val="center"/>
            </w:pPr>
            <w:r>
              <w:rPr>
                <w:b/>
                <w:bCs/>
                <w:color w:val="B85C30"/>
                <w:sz w:val="18"/>
                <w:szCs w:val="18"/>
                <w:lang w:val="fr-CA"/>
              </w:rPr>
              <w:t>34,5 %</w:t>
            </w:r>
          </w:p>
        </w:tc>
        <w:tc>
          <w:tcPr>
            <w:tcW w:w="2575"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1984505" w14:textId="77777777" w:rsidR="006774F4" w:rsidRDefault="006774F4" w:rsidP="00AA5586">
            <w:pPr>
              <w:spacing w:after="0" w:line="254" w:lineRule="auto"/>
              <w:jc w:val="center"/>
            </w:pPr>
            <w:r>
              <w:rPr>
                <w:sz w:val="18"/>
                <w:szCs w:val="18"/>
              </w:rPr>
              <w:t>Governance</w:t>
            </w:r>
          </w:p>
        </w:tc>
      </w:tr>
    </w:tbl>
    <w:p w14:paraId="12A918A6" w14:textId="77777777" w:rsidR="006774F4" w:rsidRPr="006774F4" w:rsidRDefault="006774F4" w:rsidP="006774F4">
      <w:pPr>
        <w:pStyle w:val="Heading2"/>
        <w:rPr>
          <w:lang w:val="fr-FR"/>
        </w:rPr>
      </w:pPr>
      <w:bookmarkStart w:id="193" w:name="__RefHeading___Toc4973_3048004937"/>
      <w:bookmarkStart w:id="194" w:name="_Toc239750740"/>
      <w:bookmarkEnd w:id="193"/>
      <w:r>
        <w:rPr>
          <w:lang w:val="fr-CA"/>
        </w:rPr>
        <w:t xml:space="preserve">Ce qu’une intervention de Clarity </w:t>
      </w:r>
      <w:proofErr w:type="spellStart"/>
      <w:r>
        <w:rPr>
          <w:lang w:val="fr-CA"/>
        </w:rPr>
        <w:t>Builders</w:t>
      </w:r>
      <w:proofErr w:type="spellEnd"/>
      <w:r>
        <w:rPr>
          <w:lang w:val="fr-CA"/>
        </w:rPr>
        <w:t xml:space="preserve"> aurait permis d’aborder</w:t>
      </w:r>
      <w:bookmarkEnd w:id="194"/>
    </w:p>
    <w:p w14:paraId="7C235897" w14:textId="77777777" w:rsidR="006774F4" w:rsidRPr="006774F4" w:rsidRDefault="006774F4" w:rsidP="006774F4">
      <w:pPr>
        <w:pStyle w:val="ListParagraph"/>
        <w:numPr>
          <w:ilvl w:val="0"/>
          <w:numId w:val="9"/>
        </w:numPr>
        <w:spacing w:after="100" w:line="276" w:lineRule="auto"/>
        <w:contextualSpacing w:val="0"/>
        <w:rPr>
          <w:lang w:val="fr-FR"/>
        </w:rPr>
      </w:pPr>
      <w:r>
        <w:rPr>
          <w:b/>
          <w:bCs/>
          <w:color w:val="1B3A6B"/>
          <w:sz w:val="21"/>
          <w:szCs w:val="21"/>
          <w:lang w:val="fr-CA"/>
        </w:rPr>
        <w:t xml:space="preserve">5.5 Information management design.  </w:t>
      </w:r>
      <w:r>
        <w:rPr>
          <w:sz w:val="21"/>
          <w:szCs w:val="21"/>
          <w:lang w:val="fr-CA"/>
        </w:rPr>
        <w:t>L’attribution d’un identifiant unique à chaque bien est l’une des premières décisions de gestion de l’information, et l’une des moins coûteuses. Sans cet identifiant, il n’existe pas de dossier cohérent, seulement des documents distincts.</w:t>
      </w:r>
    </w:p>
    <w:p w14:paraId="730A9336" w14:textId="77777777" w:rsidR="006774F4" w:rsidRPr="006774F4" w:rsidRDefault="006774F4" w:rsidP="006774F4">
      <w:pPr>
        <w:pStyle w:val="ListParagraph"/>
        <w:numPr>
          <w:ilvl w:val="0"/>
          <w:numId w:val="9"/>
        </w:numPr>
        <w:spacing w:after="100" w:line="276" w:lineRule="auto"/>
        <w:contextualSpacing w:val="0"/>
        <w:rPr>
          <w:lang w:val="fr-FR"/>
        </w:rPr>
      </w:pPr>
      <w:r w:rsidRPr="006774F4">
        <w:rPr>
          <w:b/>
          <w:bCs/>
          <w:color w:val="1B3A6B"/>
          <w:sz w:val="21"/>
          <w:szCs w:val="21"/>
          <w:lang w:val="en-US"/>
        </w:rPr>
        <w:t xml:space="preserve">5.12 Classification and cost-data alignment.  </w:t>
      </w:r>
      <w:r>
        <w:rPr>
          <w:sz w:val="21"/>
          <w:szCs w:val="21"/>
          <w:lang w:val="fr-CA"/>
        </w:rPr>
        <w:t>Des inspections datant de six ans ne constituent pas un jeu de données actuel sur l’état des biens. Ce sont des données historiques utilisées comme si elles étaient à jour.</w:t>
      </w:r>
    </w:p>
    <w:p w14:paraId="77BE7048" w14:textId="77777777" w:rsidR="006774F4" w:rsidRPr="006774F4" w:rsidRDefault="006774F4" w:rsidP="006774F4">
      <w:pPr>
        <w:pStyle w:val="ListParagraph"/>
        <w:numPr>
          <w:ilvl w:val="0"/>
          <w:numId w:val="9"/>
        </w:numPr>
        <w:spacing w:after="100" w:line="276" w:lineRule="auto"/>
        <w:contextualSpacing w:val="0"/>
        <w:rPr>
          <w:lang w:val="fr-FR"/>
        </w:rPr>
      </w:pPr>
      <w:proofErr w:type="spellStart"/>
      <w:r>
        <w:rPr>
          <w:b/>
          <w:bCs/>
          <w:color w:val="1B3A6B"/>
          <w:sz w:val="21"/>
          <w:szCs w:val="21"/>
          <w:lang w:val="fr-CA"/>
        </w:rPr>
        <w:t>Governance</w:t>
      </w:r>
      <w:proofErr w:type="spellEnd"/>
      <w:r>
        <w:rPr>
          <w:b/>
          <w:bCs/>
          <w:color w:val="1B3A6B"/>
          <w:sz w:val="21"/>
          <w:szCs w:val="21"/>
          <w:lang w:val="fr-CA"/>
        </w:rPr>
        <w:t xml:space="preserve"> 10, Financial </w:t>
      </w:r>
      <w:proofErr w:type="spellStart"/>
      <w:r>
        <w:rPr>
          <w:b/>
          <w:bCs/>
          <w:color w:val="1B3A6B"/>
          <w:sz w:val="21"/>
          <w:szCs w:val="21"/>
          <w:lang w:val="fr-CA"/>
        </w:rPr>
        <w:t>resourcing</w:t>
      </w:r>
      <w:proofErr w:type="spellEnd"/>
      <w:r>
        <w:rPr>
          <w:b/>
          <w:bCs/>
          <w:color w:val="1B3A6B"/>
          <w:sz w:val="21"/>
          <w:szCs w:val="21"/>
          <w:lang w:val="fr-CA"/>
        </w:rPr>
        <w:t xml:space="preserve">.  </w:t>
      </w:r>
      <w:r>
        <w:rPr>
          <w:sz w:val="21"/>
          <w:szCs w:val="21"/>
          <w:lang w:val="fr-CA"/>
        </w:rPr>
        <w:t>Un engagement de construction de 1,2 milliard de dollars sans régime d’entretien adéquat pour le parc existant crée, en temps réel, un déficit de financement sur le cycle de vie.</w:t>
      </w:r>
    </w:p>
    <w:p w14:paraId="5FE66920" w14:textId="77777777" w:rsidR="006774F4" w:rsidRPr="006774F4" w:rsidRDefault="006774F4" w:rsidP="006774F4">
      <w:pPr>
        <w:pStyle w:val="Heading2"/>
        <w:rPr>
          <w:lang w:val="fr-FR"/>
        </w:rPr>
      </w:pPr>
      <w:bookmarkStart w:id="195" w:name="__RefHeading___Toc4975_3048004937"/>
      <w:bookmarkStart w:id="196" w:name="_Toc239750741"/>
      <w:bookmarkEnd w:id="195"/>
      <w:r>
        <w:rPr>
          <w:lang w:val="fr-CA"/>
        </w:rPr>
        <w:t>Scénario illustratif</w:t>
      </w:r>
      <w:bookmarkEnd w:id="196"/>
    </w:p>
    <w:p w14:paraId="255BCAEA" w14:textId="77777777" w:rsidR="006774F4" w:rsidRPr="006774F4" w:rsidRDefault="006774F4" w:rsidP="006774F4">
      <w:pPr>
        <w:rPr>
          <w:lang w:val="fr-FR"/>
        </w:rPr>
      </w:pPr>
      <w:r>
        <w:rPr>
          <w:lang w:val="fr-CA"/>
        </w:rPr>
        <w:t>Aucune économie n’est modélisée. L’audit fait état d’un écart de livraison, et non d’un dépassement de coûts.</w:t>
      </w:r>
    </w:p>
    <w:p w14:paraId="4D844820" w14:textId="77777777" w:rsidR="006774F4" w:rsidRPr="006774F4" w:rsidRDefault="006774F4" w:rsidP="006774F4">
      <w:pPr>
        <w:keepNext/>
        <w:spacing w:after="50"/>
        <w:rPr>
          <w:lang w:val="fr-FR"/>
        </w:rPr>
      </w:pPr>
      <w:r>
        <w:rPr>
          <w:lang w:val="fr-CA"/>
        </w:rPr>
        <w:t xml:space="preserve">Le scénario illustratif porte sur l’enchaînement des décisions. Des informations peu fiables sur les biens et leur état apparaissent dans 29,1 % des entrées canadiennes du registre, et les coûts du cycle de vie non prévus dans 34,5 %. Le Nunavut ajoute 1 400 unités à un parc où le </w:t>
      </w:r>
      <w:r>
        <w:rPr>
          <w:lang w:val="fr-CA"/>
        </w:rPr>
        <w:lastRenderedPageBreak/>
        <w:t>tiers des logements existants ne fait l’objet d’aucun entretien préventif et où les inspections datent en moyenne de six ans. Les nouvelles unités entreront dans le même système. Un identifiant de bien coûte presque rien et constitue pourtant la condition préalable à tout le reste.</w:t>
      </w:r>
    </w:p>
    <w:p w14:paraId="66CFDAA6" w14:textId="77777777" w:rsidR="006774F4" w:rsidRPr="006774F4" w:rsidRDefault="006774F4" w:rsidP="006774F4">
      <w:pPr>
        <w:pStyle w:val="Heading2"/>
        <w:rPr>
          <w:lang w:val="fr-FR"/>
        </w:rPr>
      </w:pPr>
      <w:bookmarkStart w:id="197" w:name="__RefHeading___Toc4977_3048004937"/>
      <w:bookmarkEnd w:id="197"/>
      <w:r>
        <w:rPr>
          <w:lang w:val="fr-CA"/>
        </w:rPr>
        <w:t>Contrefactuel</w:t>
      </w:r>
    </w:p>
    <w:p w14:paraId="4F040924"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90"/>
        <w:rPr>
          <w:lang w:val="fr-FR"/>
        </w:rPr>
      </w:pPr>
      <w:r>
        <w:rPr>
          <w:sz w:val="21"/>
          <w:szCs w:val="21"/>
          <w:lang w:val="fr-CA"/>
        </w:rPr>
        <w:t>Nous n’affirmons pas que le programme de logement devrait ralentir. Un taux de surpeuplement de 45 % justifie de construire plus rapidement, et non plus lentement.</w:t>
      </w:r>
    </w:p>
    <w:p w14:paraId="68DF8710"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Nous affirmons qu’ajouter 1 400 unités à un portefeuille sans identifiant unique pour chaque bien amplifie le problème plutôt que de le résoudre, et que cette décision peut être prise dès aujourd’hui.</w:t>
      </w:r>
    </w:p>
    <w:p w14:paraId="624D5A9C" w14:textId="77777777" w:rsidR="006774F4" w:rsidRPr="006774F4" w:rsidRDefault="006774F4" w:rsidP="006774F4">
      <w:pPr>
        <w:pStyle w:val="Heading1"/>
        <w:rPr>
          <w:b/>
          <w:bCs/>
          <w:color w:val="1B3A6B"/>
          <w:sz w:val="28"/>
          <w:szCs w:val="28"/>
          <w:lang w:val="fr-FR"/>
        </w:rPr>
      </w:pPr>
    </w:p>
    <w:p w14:paraId="4C99FECB" w14:textId="77777777" w:rsidR="006774F4" w:rsidRPr="006774F4" w:rsidRDefault="006774F4" w:rsidP="006774F4">
      <w:pPr>
        <w:pStyle w:val="Heading1"/>
        <w:spacing w:before="380" w:after="170"/>
        <w:rPr>
          <w:b/>
          <w:bCs/>
          <w:color w:val="1B3A6B"/>
          <w:sz w:val="28"/>
          <w:szCs w:val="28"/>
          <w:lang w:val="fr-FR"/>
        </w:rPr>
      </w:pPr>
      <w:bookmarkStart w:id="198" w:name="__RefHeading___Toc4979_3048004937"/>
      <w:bookmarkStart w:id="199" w:name="_Toc239750742"/>
      <w:bookmarkEnd w:id="198"/>
      <w:r>
        <w:rPr>
          <w:b/>
          <w:bCs/>
          <w:color w:val="1B3A6B"/>
          <w:sz w:val="28"/>
          <w:szCs w:val="28"/>
          <w:lang w:val="fr-CA"/>
        </w:rPr>
        <w:t>7.  Cinq comparateurs internationaux</w:t>
      </w:r>
      <w:bookmarkEnd w:id="199"/>
    </w:p>
    <w:p w14:paraId="4AD08FB5" w14:textId="77777777" w:rsidR="006774F4" w:rsidRPr="006774F4" w:rsidRDefault="006774F4" w:rsidP="006774F4">
      <w:pPr>
        <w:rPr>
          <w:lang w:val="fr-FR"/>
        </w:rPr>
      </w:pPr>
      <w:r>
        <w:rPr>
          <w:lang w:val="fr-CA"/>
        </w:rPr>
        <w:t>Cette section est courte, mais elle contient le constat qui change la portée de l’argument. Les mêmes 15 codes de cause ont été appliqués à 20 rapports de surveillance internationaux provenant du Royaume-Uni, de l’Irlande, de l’Australie, de la Nouvelle-Zélande et des États-Unis. Le résultat est de 85,0 %, comparativement à 81,8 % pour le Canada; l’écart n’est pas statistiquement significatif (z = 0,34).</w:t>
      </w:r>
    </w:p>
    <w:p w14:paraId="3E25E40D" w14:textId="77777777" w:rsidR="006774F4" w:rsidRPr="006774F4" w:rsidRDefault="006774F4" w:rsidP="006774F4">
      <w:pPr>
        <w:rPr>
          <w:lang w:val="fr-FR"/>
        </w:rPr>
      </w:pPr>
      <w:r>
        <w:rPr>
          <w:lang w:val="fr-CA"/>
        </w:rPr>
        <w:t>Ce résultat importe pour deux raisons. La première est défensive : un lecteur qui voudrait écarter ce livre pourrait soutenir que le secteur public canadien est particulièrement mauvais dans la réalisation de projets; le taux observé chez les comparateurs démontre le contraire. La seconde est plus utile : si la même tendance apparaît dans cinq pays dotés de lois sur l’approvisionnement, de modèles contractuels et d’institutions professionnelles différents, le problème est structurel plutôt que local — et les problèmes structurels appellent des réponses structurelles.</w:t>
      </w:r>
    </w:p>
    <w:p w14:paraId="4EAAA3A2" w14:textId="77777777" w:rsidR="006774F4" w:rsidRPr="006774F4" w:rsidRDefault="006774F4" w:rsidP="006774F4">
      <w:pPr>
        <w:rPr>
          <w:lang w:val="fr-FR"/>
        </w:rPr>
      </w:pPr>
      <w:r>
        <w:rPr>
          <w:lang w:val="fr-CA"/>
        </w:rPr>
        <w:t>Les cinq comparateurs ci-dessous ont été choisis parce que chacun correspond directement à un cas canadien de la section 6. Lus côte à côte, ils montrent le même constat se reproduire dans deux pays, parfois à deux décennies d’intervalle.</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560"/>
        <w:gridCol w:w="1500"/>
        <w:gridCol w:w="1062"/>
        <w:gridCol w:w="1998"/>
        <w:gridCol w:w="5120"/>
      </w:tblGrid>
      <w:tr w:rsidR="006774F4" w:rsidRPr="006774F4" w14:paraId="1C857914" w14:textId="77777777" w:rsidTr="00AA5586">
        <w:trPr>
          <w:cantSplit/>
          <w:tblHeader/>
        </w:trPr>
        <w:tc>
          <w:tcPr>
            <w:tcW w:w="560" w:type="dxa"/>
            <w:tcBorders>
              <w:bottom w:val="single" w:sz="4" w:space="0" w:color="000000"/>
            </w:tcBorders>
            <w:shd w:val="clear" w:color="auto" w:fill="1B3A6B"/>
          </w:tcPr>
          <w:p w14:paraId="035460B0" w14:textId="77777777" w:rsidR="006774F4" w:rsidRDefault="006774F4" w:rsidP="00AA5586">
            <w:pPr>
              <w:spacing w:after="0" w:line="254" w:lineRule="auto"/>
              <w:jc w:val="center"/>
            </w:pPr>
            <w:r>
              <w:rPr>
                <w:b/>
                <w:bCs/>
                <w:caps/>
                <w:color w:val="FFFFFF"/>
                <w:spacing w:val="16"/>
                <w:sz w:val="18"/>
                <w:szCs w:val="18"/>
              </w:rPr>
              <w:t>#</w:t>
            </w:r>
          </w:p>
        </w:tc>
        <w:tc>
          <w:tcPr>
            <w:tcW w:w="1500" w:type="dxa"/>
            <w:tcBorders>
              <w:bottom w:val="single" w:sz="4" w:space="0" w:color="000000"/>
            </w:tcBorders>
            <w:shd w:val="clear" w:color="auto" w:fill="1B3A6B"/>
          </w:tcPr>
          <w:p w14:paraId="570DE374" w14:textId="77777777" w:rsidR="006774F4" w:rsidRDefault="006774F4" w:rsidP="00AA5586">
            <w:pPr>
              <w:spacing w:after="0" w:line="254" w:lineRule="auto"/>
              <w:jc w:val="center"/>
            </w:pPr>
            <w:r>
              <w:rPr>
                <w:b/>
                <w:bCs/>
                <w:caps/>
                <w:color w:val="FFFFFF"/>
                <w:spacing w:val="16"/>
                <w:sz w:val="18"/>
                <w:szCs w:val="18"/>
                <w:lang w:val="fr-CA"/>
              </w:rPr>
              <w:t>ID du registre</w:t>
            </w:r>
          </w:p>
        </w:tc>
        <w:tc>
          <w:tcPr>
            <w:tcW w:w="1062" w:type="dxa"/>
            <w:tcBorders>
              <w:bottom w:val="single" w:sz="4" w:space="0" w:color="000000"/>
            </w:tcBorders>
            <w:shd w:val="clear" w:color="auto" w:fill="1B3A6B"/>
          </w:tcPr>
          <w:p w14:paraId="4ADBB6BA" w14:textId="77777777" w:rsidR="006774F4" w:rsidRDefault="006774F4" w:rsidP="00AA5586">
            <w:pPr>
              <w:spacing w:after="0" w:line="254" w:lineRule="auto"/>
              <w:jc w:val="center"/>
            </w:pPr>
            <w:r>
              <w:rPr>
                <w:b/>
                <w:bCs/>
                <w:caps/>
                <w:color w:val="FFFFFF"/>
                <w:spacing w:val="16"/>
                <w:sz w:val="18"/>
                <w:szCs w:val="18"/>
                <w:lang w:val="fr-CA"/>
              </w:rPr>
              <w:t>Année</w:t>
            </w:r>
          </w:p>
        </w:tc>
        <w:tc>
          <w:tcPr>
            <w:tcW w:w="1998" w:type="dxa"/>
            <w:tcBorders>
              <w:bottom w:val="single" w:sz="4" w:space="0" w:color="000000"/>
            </w:tcBorders>
            <w:shd w:val="clear" w:color="auto" w:fill="1B3A6B"/>
          </w:tcPr>
          <w:p w14:paraId="69FDE964" w14:textId="77777777" w:rsidR="006774F4" w:rsidRDefault="006774F4" w:rsidP="00AA5586">
            <w:pPr>
              <w:spacing w:after="0" w:line="254" w:lineRule="auto"/>
              <w:jc w:val="center"/>
            </w:pPr>
            <w:r>
              <w:rPr>
                <w:b/>
                <w:bCs/>
                <w:caps/>
                <w:color w:val="FFFFFF"/>
                <w:spacing w:val="16"/>
                <w:sz w:val="16"/>
                <w:szCs w:val="18"/>
                <w:lang w:val="fr-CA"/>
              </w:rPr>
              <w:t>Administration</w:t>
            </w:r>
          </w:p>
        </w:tc>
        <w:tc>
          <w:tcPr>
            <w:tcW w:w="5120" w:type="dxa"/>
            <w:tcBorders>
              <w:bottom w:val="single" w:sz="4" w:space="0" w:color="000000"/>
            </w:tcBorders>
            <w:shd w:val="clear" w:color="auto" w:fill="1B3A6B"/>
          </w:tcPr>
          <w:p w14:paraId="4CEF89C7" w14:textId="77777777" w:rsidR="006774F4" w:rsidRPr="006774F4" w:rsidRDefault="006774F4" w:rsidP="00AA5586">
            <w:pPr>
              <w:spacing w:after="0" w:line="254" w:lineRule="auto"/>
              <w:jc w:val="center"/>
              <w:rPr>
                <w:lang w:val="fr-FR"/>
              </w:rPr>
            </w:pPr>
            <w:r>
              <w:rPr>
                <w:b/>
                <w:bCs/>
                <w:caps/>
                <w:color w:val="FFFFFF"/>
                <w:spacing w:val="16"/>
                <w:sz w:val="18"/>
                <w:szCs w:val="18"/>
                <w:lang w:val="fr-CA"/>
              </w:rPr>
              <w:t>Projet et cas canadien associé</w:t>
            </w:r>
          </w:p>
        </w:tc>
      </w:tr>
      <w:tr w:rsidR="006774F4" w:rsidRPr="007B50E3" w14:paraId="129518B9" w14:textId="77777777" w:rsidTr="00AA5586">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82A951" w14:textId="77777777" w:rsidR="006774F4" w:rsidRDefault="006774F4" w:rsidP="00AA5586">
            <w:pPr>
              <w:spacing w:after="0" w:line="254" w:lineRule="auto"/>
              <w:jc w:val="center"/>
              <w:rPr>
                <w:b/>
                <w:bCs/>
                <w:sz w:val="18"/>
                <w:szCs w:val="18"/>
              </w:rPr>
            </w:pPr>
            <w:r>
              <w:rPr>
                <w:b/>
                <w:bCs/>
                <w:sz w:val="18"/>
                <w:szCs w:val="18"/>
              </w:rPr>
              <w:t>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A652FA" w14:textId="77777777" w:rsidR="006774F4" w:rsidRDefault="006774F4" w:rsidP="00AA5586">
            <w:pPr>
              <w:spacing w:after="0" w:line="254" w:lineRule="auto"/>
              <w:jc w:val="center"/>
            </w:pPr>
            <w:r>
              <w:rPr>
                <w:sz w:val="18"/>
                <w:szCs w:val="18"/>
              </w:rPr>
              <w:t>INT-01</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CA36C2" w14:textId="77777777" w:rsidR="006774F4" w:rsidRDefault="006774F4" w:rsidP="00AA5586">
            <w:pPr>
              <w:spacing w:after="0" w:line="254" w:lineRule="auto"/>
              <w:jc w:val="center"/>
            </w:pPr>
            <w:r>
              <w:rPr>
                <w:sz w:val="18"/>
                <w:szCs w:val="18"/>
              </w:rPr>
              <w:t>2023</w:t>
            </w:r>
          </w:p>
        </w:tc>
        <w:tc>
          <w:tcPr>
            <w:tcW w:w="1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A386B8" w14:textId="77777777" w:rsidR="006774F4" w:rsidRDefault="006774F4" w:rsidP="00AA5586">
            <w:pPr>
              <w:spacing w:after="0" w:line="254" w:lineRule="auto"/>
              <w:jc w:val="center"/>
            </w:pPr>
            <w:r>
              <w:rPr>
                <w:sz w:val="18"/>
                <w:szCs w:val="18"/>
                <w:lang w:val="fr-CA"/>
              </w:rPr>
              <w:t>Écosse</w:t>
            </w:r>
          </w:p>
        </w:tc>
        <w:tc>
          <w:tcPr>
            <w:tcW w:w="51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741D4E" w14:textId="77777777" w:rsidR="006774F4" w:rsidRPr="006774F4" w:rsidRDefault="006774F4" w:rsidP="00AA5586">
            <w:pPr>
              <w:spacing w:after="0" w:line="254" w:lineRule="auto"/>
              <w:rPr>
                <w:lang w:val="fr-FR"/>
              </w:rPr>
            </w:pPr>
            <w:r>
              <w:rPr>
                <w:b/>
                <w:bCs/>
                <w:sz w:val="18"/>
                <w:szCs w:val="18"/>
                <w:lang w:val="fr-CA"/>
              </w:rPr>
              <w:t xml:space="preserve">Tramway </w:t>
            </w:r>
            <w:proofErr w:type="gramStart"/>
            <w:r>
              <w:rPr>
                <w:b/>
                <w:bCs/>
                <w:sz w:val="18"/>
                <w:szCs w:val="18"/>
                <w:lang w:val="fr-CA"/>
              </w:rPr>
              <w:t>d’Édimbourg  ·</w:t>
            </w:r>
            <w:proofErr w:type="gramEnd"/>
            <w:r>
              <w:rPr>
                <w:b/>
                <w:bCs/>
                <w:sz w:val="18"/>
                <w:szCs w:val="18"/>
                <w:lang w:val="fr-CA"/>
              </w:rPr>
              <w:t xml:space="preserve">  associé à l’étape 1 du train léger d’Ottawa</w:t>
            </w:r>
          </w:p>
        </w:tc>
      </w:tr>
      <w:tr w:rsidR="006774F4" w:rsidRPr="007B50E3" w14:paraId="05A35347" w14:textId="77777777" w:rsidTr="00AA5586">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CE22D72" w14:textId="77777777" w:rsidR="006774F4" w:rsidRDefault="006774F4" w:rsidP="00AA5586">
            <w:pPr>
              <w:spacing w:after="0" w:line="254" w:lineRule="auto"/>
              <w:jc w:val="center"/>
              <w:rPr>
                <w:b/>
                <w:bCs/>
                <w:sz w:val="18"/>
                <w:szCs w:val="18"/>
              </w:rPr>
            </w:pPr>
            <w:r>
              <w:rPr>
                <w:b/>
                <w:bCs/>
                <w:sz w:val="18"/>
                <w:szCs w:val="18"/>
              </w:rPr>
              <w:t>2</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BF6701E" w14:textId="77777777" w:rsidR="006774F4" w:rsidRDefault="006774F4" w:rsidP="00AA5586">
            <w:pPr>
              <w:spacing w:after="0" w:line="254" w:lineRule="auto"/>
              <w:jc w:val="center"/>
            </w:pPr>
            <w:r>
              <w:rPr>
                <w:sz w:val="18"/>
                <w:szCs w:val="18"/>
              </w:rPr>
              <w:t>INT-09</w:t>
            </w:r>
          </w:p>
        </w:tc>
        <w:tc>
          <w:tcPr>
            <w:tcW w:w="106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837F290" w14:textId="77777777" w:rsidR="006774F4" w:rsidRDefault="006774F4" w:rsidP="00AA5586">
            <w:pPr>
              <w:spacing w:after="0" w:line="254" w:lineRule="auto"/>
              <w:jc w:val="center"/>
            </w:pPr>
            <w:r>
              <w:rPr>
                <w:sz w:val="18"/>
                <w:szCs w:val="18"/>
              </w:rPr>
              <w:t>2023</w:t>
            </w:r>
          </w:p>
        </w:tc>
        <w:tc>
          <w:tcPr>
            <w:tcW w:w="19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561329C" w14:textId="77777777" w:rsidR="006774F4" w:rsidRDefault="006774F4" w:rsidP="00AA5586">
            <w:pPr>
              <w:spacing w:after="0" w:line="254" w:lineRule="auto"/>
              <w:jc w:val="center"/>
            </w:pPr>
            <w:r>
              <w:rPr>
                <w:sz w:val="18"/>
                <w:szCs w:val="18"/>
                <w:lang w:val="fr-CA"/>
              </w:rPr>
              <w:t>Royaume-Uni</w:t>
            </w:r>
          </w:p>
        </w:tc>
        <w:tc>
          <w:tcPr>
            <w:tcW w:w="51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CDF82A1" w14:textId="77777777" w:rsidR="006774F4" w:rsidRPr="006774F4" w:rsidRDefault="006774F4" w:rsidP="00AA5586">
            <w:pPr>
              <w:spacing w:after="0" w:line="254" w:lineRule="auto"/>
              <w:rPr>
                <w:lang w:val="fr-FR"/>
              </w:rPr>
            </w:pPr>
            <w:r>
              <w:rPr>
                <w:b/>
                <w:bCs/>
                <w:sz w:val="18"/>
                <w:szCs w:val="18"/>
                <w:lang w:val="fr-CA"/>
              </w:rPr>
              <w:t xml:space="preserve">Bâtiments scolaires en </w:t>
            </w:r>
            <w:proofErr w:type="gramStart"/>
            <w:r>
              <w:rPr>
                <w:b/>
                <w:bCs/>
                <w:sz w:val="18"/>
                <w:szCs w:val="18"/>
                <w:lang w:val="fr-CA"/>
              </w:rPr>
              <w:t>Angleterre  ·</w:t>
            </w:r>
            <w:proofErr w:type="gramEnd"/>
            <w:r>
              <w:rPr>
                <w:b/>
                <w:bCs/>
                <w:sz w:val="18"/>
                <w:szCs w:val="18"/>
                <w:lang w:val="fr-CA"/>
              </w:rPr>
              <w:t xml:space="preserve">  associé à la planification des immobilisations scolaires en Nouvelle-Écosse</w:t>
            </w:r>
          </w:p>
        </w:tc>
      </w:tr>
      <w:tr w:rsidR="006774F4" w:rsidRPr="007B50E3" w14:paraId="0365643E" w14:textId="77777777" w:rsidTr="00AA5586">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BE76C6" w14:textId="77777777" w:rsidR="006774F4" w:rsidRDefault="006774F4" w:rsidP="00AA5586">
            <w:pPr>
              <w:spacing w:after="0" w:line="254" w:lineRule="auto"/>
              <w:jc w:val="center"/>
              <w:rPr>
                <w:b/>
                <w:bCs/>
                <w:sz w:val="18"/>
                <w:szCs w:val="18"/>
              </w:rPr>
            </w:pPr>
            <w:r>
              <w:rPr>
                <w:b/>
                <w:bCs/>
                <w:sz w:val="18"/>
                <w:szCs w:val="18"/>
              </w:rPr>
              <w:t>3</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DF7BAB" w14:textId="77777777" w:rsidR="006774F4" w:rsidRDefault="006774F4" w:rsidP="00AA5586">
            <w:pPr>
              <w:spacing w:after="0" w:line="254" w:lineRule="auto"/>
              <w:jc w:val="center"/>
            </w:pPr>
            <w:r>
              <w:rPr>
                <w:sz w:val="18"/>
                <w:szCs w:val="18"/>
              </w:rPr>
              <w:t>INT-13</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9844FB" w14:textId="77777777" w:rsidR="006774F4" w:rsidRDefault="006774F4" w:rsidP="00AA5586">
            <w:pPr>
              <w:spacing w:after="0" w:line="254" w:lineRule="auto"/>
              <w:jc w:val="center"/>
            </w:pPr>
            <w:r>
              <w:rPr>
                <w:sz w:val="18"/>
                <w:szCs w:val="18"/>
              </w:rPr>
              <w:t>2020</w:t>
            </w:r>
          </w:p>
        </w:tc>
        <w:tc>
          <w:tcPr>
            <w:tcW w:w="1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9B46AC" w14:textId="77777777" w:rsidR="006774F4" w:rsidRPr="006774F4" w:rsidRDefault="006774F4" w:rsidP="00AA5586">
            <w:pPr>
              <w:spacing w:after="0" w:line="254" w:lineRule="auto"/>
              <w:jc w:val="center"/>
              <w:rPr>
                <w:lang w:val="fr-FR"/>
              </w:rPr>
            </w:pPr>
            <w:r>
              <w:rPr>
                <w:sz w:val="18"/>
                <w:szCs w:val="18"/>
                <w:lang w:val="fr-CA"/>
              </w:rPr>
              <w:t>Australie, Nouvelle-Galles du Sud</w:t>
            </w:r>
          </w:p>
        </w:tc>
        <w:tc>
          <w:tcPr>
            <w:tcW w:w="51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F30722" w14:textId="77777777" w:rsidR="006774F4" w:rsidRPr="006774F4" w:rsidRDefault="006774F4" w:rsidP="00AA5586">
            <w:pPr>
              <w:spacing w:after="0" w:line="254" w:lineRule="auto"/>
              <w:rPr>
                <w:lang w:val="fr-FR"/>
              </w:rPr>
            </w:pPr>
            <w:r>
              <w:rPr>
                <w:b/>
                <w:bCs/>
                <w:sz w:val="18"/>
                <w:szCs w:val="18"/>
                <w:lang w:val="fr-CA"/>
              </w:rPr>
              <w:t xml:space="preserve">Train léger du centre-ville et du Sud-Est de </w:t>
            </w:r>
            <w:proofErr w:type="gramStart"/>
            <w:r>
              <w:rPr>
                <w:b/>
                <w:bCs/>
                <w:sz w:val="18"/>
                <w:szCs w:val="18"/>
                <w:lang w:val="fr-CA"/>
              </w:rPr>
              <w:t>Sydney  ·</w:t>
            </w:r>
            <w:proofErr w:type="gramEnd"/>
            <w:r>
              <w:rPr>
                <w:b/>
                <w:bCs/>
                <w:sz w:val="18"/>
                <w:szCs w:val="18"/>
                <w:lang w:val="fr-CA"/>
              </w:rPr>
              <w:t xml:space="preserve">  associé au Réseau express métropolitain</w:t>
            </w:r>
          </w:p>
        </w:tc>
      </w:tr>
      <w:tr w:rsidR="006774F4" w:rsidRPr="007B50E3" w14:paraId="72EB1EAB" w14:textId="77777777" w:rsidTr="00AA5586">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3C35D89" w14:textId="77777777" w:rsidR="006774F4" w:rsidRDefault="006774F4" w:rsidP="00AA5586">
            <w:pPr>
              <w:spacing w:after="0" w:line="254" w:lineRule="auto"/>
              <w:jc w:val="center"/>
              <w:rPr>
                <w:b/>
                <w:bCs/>
                <w:sz w:val="18"/>
                <w:szCs w:val="18"/>
              </w:rPr>
            </w:pPr>
            <w:r>
              <w:rPr>
                <w:b/>
                <w:bCs/>
                <w:sz w:val="18"/>
                <w:szCs w:val="18"/>
              </w:rPr>
              <w:lastRenderedPageBreak/>
              <w:t>4</w:t>
            </w:r>
          </w:p>
        </w:tc>
        <w:tc>
          <w:tcPr>
            <w:tcW w:w="1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8E847C1" w14:textId="77777777" w:rsidR="006774F4" w:rsidRDefault="006774F4" w:rsidP="00AA5586">
            <w:pPr>
              <w:spacing w:after="0" w:line="254" w:lineRule="auto"/>
              <w:jc w:val="center"/>
            </w:pPr>
            <w:r>
              <w:rPr>
                <w:sz w:val="18"/>
                <w:szCs w:val="18"/>
              </w:rPr>
              <w:t>INT-16</w:t>
            </w:r>
          </w:p>
        </w:tc>
        <w:tc>
          <w:tcPr>
            <w:tcW w:w="106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215A209" w14:textId="77777777" w:rsidR="006774F4" w:rsidRDefault="006774F4" w:rsidP="00AA5586">
            <w:pPr>
              <w:spacing w:after="0" w:line="254" w:lineRule="auto"/>
              <w:jc w:val="center"/>
            </w:pPr>
            <w:r>
              <w:rPr>
                <w:sz w:val="18"/>
                <w:szCs w:val="18"/>
              </w:rPr>
              <w:t>2025</w:t>
            </w:r>
          </w:p>
        </w:tc>
        <w:tc>
          <w:tcPr>
            <w:tcW w:w="19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F614D3" w14:textId="77777777" w:rsidR="006774F4" w:rsidRDefault="006774F4" w:rsidP="00AA5586">
            <w:pPr>
              <w:spacing w:after="0" w:line="254" w:lineRule="auto"/>
              <w:jc w:val="center"/>
            </w:pPr>
            <w:r>
              <w:rPr>
                <w:sz w:val="18"/>
                <w:szCs w:val="18"/>
                <w:lang w:val="fr-CA"/>
              </w:rPr>
              <w:t>États-Unis</w:t>
            </w:r>
          </w:p>
        </w:tc>
        <w:tc>
          <w:tcPr>
            <w:tcW w:w="512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589CF85" w14:textId="77777777" w:rsidR="006774F4" w:rsidRPr="006774F4" w:rsidRDefault="006774F4" w:rsidP="00AA5586">
            <w:pPr>
              <w:spacing w:after="0" w:line="254" w:lineRule="auto"/>
              <w:rPr>
                <w:lang w:val="fr-FR"/>
              </w:rPr>
            </w:pPr>
            <w:r>
              <w:rPr>
                <w:b/>
                <w:bCs/>
                <w:sz w:val="18"/>
                <w:szCs w:val="18"/>
                <w:lang w:val="fr-CA"/>
              </w:rPr>
              <w:t>Biens immobiliers fédéraux des États-</w:t>
            </w:r>
            <w:proofErr w:type="gramStart"/>
            <w:r>
              <w:rPr>
                <w:b/>
                <w:bCs/>
                <w:sz w:val="18"/>
                <w:szCs w:val="18"/>
                <w:lang w:val="fr-CA"/>
              </w:rPr>
              <w:t>Unis  ·</w:t>
            </w:r>
            <w:proofErr w:type="gramEnd"/>
            <w:r>
              <w:rPr>
                <w:b/>
                <w:bCs/>
                <w:sz w:val="18"/>
                <w:szCs w:val="18"/>
                <w:lang w:val="fr-CA"/>
              </w:rPr>
              <w:t xml:space="preserve">  associé au portefeuille fédéral de locaux à bureaux</w:t>
            </w:r>
          </w:p>
        </w:tc>
      </w:tr>
      <w:tr w:rsidR="006774F4" w14:paraId="1109D85E" w14:textId="77777777" w:rsidTr="00AA5586">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0481E7" w14:textId="77777777" w:rsidR="006774F4" w:rsidRDefault="006774F4" w:rsidP="00AA5586">
            <w:pPr>
              <w:spacing w:after="0" w:line="254" w:lineRule="auto"/>
              <w:jc w:val="center"/>
              <w:rPr>
                <w:b/>
                <w:bCs/>
                <w:sz w:val="18"/>
                <w:szCs w:val="18"/>
              </w:rPr>
            </w:pPr>
            <w:r>
              <w:rPr>
                <w:b/>
                <w:bCs/>
                <w:sz w:val="18"/>
                <w:szCs w:val="18"/>
              </w:rPr>
              <w:t>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F85774" w14:textId="77777777" w:rsidR="006774F4" w:rsidRDefault="006774F4" w:rsidP="00AA5586">
            <w:pPr>
              <w:spacing w:after="0" w:line="254" w:lineRule="auto"/>
              <w:jc w:val="center"/>
            </w:pPr>
            <w:r>
              <w:rPr>
                <w:sz w:val="18"/>
                <w:szCs w:val="18"/>
              </w:rPr>
              <w:t>INT-18</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3FE37F" w14:textId="77777777" w:rsidR="006774F4" w:rsidRDefault="006774F4" w:rsidP="00AA5586">
            <w:pPr>
              <w:spacing w:after="0" w:line="254" w:lineRule="auto"/>
              <w:jc w:val="center"/>
            </w:pPr>
            <w:r>
              <w:rPr>
                <w:sz w:val="18"/>
                <w:szCs w:val="18"/>
              </w:rPr>
              <w:t>2019</w:t>
            </w:r>
          </w:p>
        </w:tc>
        <w:tc>
          <w:tcPr>
            <w:tcW w:w="19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073741" w14:textId="77777777" w:rsidR="006774F4" w:rsidRDefault="006774F4" w:rsidP="00AA5586">
            <w:pPr>
              <w:spacing w:after="0" w:line="254" w:lineRule="auto"/>
              <w:jc w:val="center"/>
            </w:pPr>
            <w:r>
              <w:rPr>
                <w:sz w:val="18"/>
                <w:szCs w:val="18"/>
                <w:lang w:val="fr-CA"/>
              </w:rPr>
              <w:t>Irlande</w:t>
            </w:r>
          </w:p>
        </w:tc>
        <w:tc>
          <w:tcPr>
            <w:tcW w:w="51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DFBAB0" w14:textId="77777777" w:rsidR="006774F4" w:rsidRDefault="006774F4" w:rsidP="00AA5586">
            <w:pPr>
              <w:spacing w:after="0" w:line="254" w:lineRule="auto"/>
            </w:pPr>
            <w:r>
              <w:rPr>
                <w:b/>
                <w:bCs/>
                <w:sz w:val="18"/>
                <w:szCs w:val="18"/>
                <w:lang w:val="fr-CA"/>
              </w:rPr>
              <w:t xml:space="preserve">National </w:t>
            </w:r>
            <w:proofErr w:type="spellStart"/>
            <w:r>
              <w:rPr>
                <w:b/>
                <w:bCs/>
                <w:sz w:val="18"/>
                <w:szCs w:val="18"/>
                <w:lang w:val="fr-CA"/>
              </w:rPr>
              <w:t>Children’s</w:t>
            </w:r>
            <w:proofErr w:type="spellEnd"/>
            <w:r>
              <w:rPr>
                <w:b/>
                <w:bCs/>
                <w:sz w:val="18"/>
                <w:szCs w:val="18"/>
                <w:lang w:val="fr-CA"/>
              </w:rPr>
              <w:t xml:space="preserve"> Hospital, </w:t>
            </w:r>
            <w:proofErr w:type="gramStart"/>
            <w:r>
              <w:rPr>
                <w:b/>
                <w:bCs/>
                <w:sz w:val="18"/>
                <w:szCs w:val="18"/>
                <w:lang w:val="fr-CA"/>
              </w:rPr>
              <w:t>Dublin  ·</w:t>
            </w:r>
            <w:proofErr w:type="gramEnd"/>
            <w:r>
              <w:rPr>
                <w:b/>
                <w:bCs/>
                <w:sz w:val="18"/>
                <w:szCs w:val="18"/>
                <w:lang w:val="fr-CA"/>
              </w:rPr>
              <w:t xml:space="preserve">  associé à l’Hôpital territorial Stanton</w:t>
            </w:r>
          </w:p>
        </w:tc>
      </w:tr>
    </w:tbl>
    <w:p w14:paraId="41BE4D3D" w14:textId="77777777" w:rsidR="006774F4" w:rsidRDefault="006774F4" w:rsidP="006774F4">
      <w:pPr>
        <w:pStyle w:val="Heading2"/>
      </w:pPr>
      <w:bookmarkStart w:id="200" w:name="__RefHeading___Toc4981_3048004937"/>
      <w:bookmarkStart w:id="201" w:name="_Toc239750743"/>
      <w:bookmarkEnd w:id="200"/>
      <w:r>
        <w:rPr>
          <w:lang w:val="fr-CA"/>
        </w:rPr>
        <w:t>Comparateur 1.  Tramway d’Édimbourg, Écosse</w:t>
      </w:r>
      <w:bookmarkEnd w:id="201"/>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583E1327" w14:textId="77777777" w:rsidTr="00AA5586">
        <w:trPr>
          <w:cantSplit/>
        </w:trPr>
        <w:tc>
          <w:tcPr>
            <w:tcW w:w="2700" w:type="dxa"/>
            <w:tcBorders>
              <w:bottom w:val="single" w:sz="4" w:space="0" w:color="000000"/>
            </w:tcBorders>
            <w:shd w:val="clear" w:color="auto" w:fill="E2E8F0"/>
          </w:tcPr>
          <w:p w14:paraId="3CA5F4C0" w14:textId="77777777" w:rsidR="006774F4" w:rsidRDefault="006774F4" w:rsidP="00AA5586">
            <w:pPr>
              <w:spacing w:after="0" w:line="254" w:lineRule="auto"/>
              <w:jc w:val="center"/>
              <w:rPr>
                <w:b/>
                <w:bCs/>
                <w:color w:val="1B3A6B"/>
                <w:sz w:val="19"/>
                <w:szCs w:val="19"/>
              </w:rPr>
            </w:pPr>
            <w:r>
              <w:rPr>
                <w:b/>
                <w:bCs/>
                <w:color w:val="1B3A6B"/>
                <w:sz w:val="19"/>
                <w:szCs w:val="19"/>
                <w:lang w:val="fr-CA"/>
              </w:rPr>
              <w:t>ID du registre</w:t>
            </w:r>
          </w:p>
        </w:tc>
        <w:tc>
          <w:tcPr>
            <w:tcW w:w="7539" w:type="dxa"/>
            <w:tcBorders>
              <w:bottom w:val="single" w:sz="4" w:space="0" w:color="000000"/>
            </w:tcBorders>
            <w:shd w:val="clear" w:color="auto" w:fill="F2F4F7"/>
          </w:tcPr>
          <w:p w14:paraId="45AB508D" w14:textId="77777777" w:rsidR="006774F4" w:rsidRDefault="006774F4" w:rsidP="00AA5586">
            <w:pPr>
              <w:spacing w:after="0" w:line="254" w:lineRule="auto"/>
              <w:jc w:val="center"/>
              <w:rPr>
                <w:b/>
                <w:bCs/>
                <w:sz w:val="19"/>
                <w:szCs w:val="19"/>
              </w:rPr>
            </w:pPr>
            <w:r>
              <w:rPr>
                <w:b/>
                <w:bCs/>
                <w:sz w:val="19"/>
                <w:szCs w:val="19"/>
              </w:rPr>
              <w:t>INT-01</w:t>
            </w:r>
          </w:p>
        </w:tc>
      </w:tr>
      <w:tr w:rsidR="006774F4" w:rsidRPr="006774F4" w14:paraId="4A69C8D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071A884"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35AB8A2" w14:textId="77777777" w:rsidR="006774F4" w:rsidRPr="006774F4" w:rsidRDefault="006774F4" w:rsidP="00AA5586">
            <w:pPr>
              <w:spacing w:after="0" w:line="254" w:lineRule="auto"/>
              <w:rPr>
                <w:lang w:val="fr-FR"/>
              </w:rPr>
            </w:pPr>
            <w:r>
              <w:rPr>
                <w:sz w:val="19"/>
                <w:szCs w:val="19"/>
                <w:lang w:val="fr-CA"/>
              </w:rPr>
              <w:t xml:space="preserve">Edinburgh Tram </w:t>
            </w:r>
            <w:proofErr w:type="spellStart"/>
            <w:r>
              <w:rPr>
                <w:sz w:val="19"/>
                <w:szCs w:val="19"/>
                <w:lang w:val="fr-CA"/>
              </w:rPr>
              <w:t>Inquiry</w:t>
            </w:r>
            <w:proofErr w:type="spellEnd"/>
            <w:r>
              <w:rPr>
                <w:sz w:val="19"/>
                <w:szCs w:val="19"/>
                <w:lang w:val="fr-CA"/>
              </w:rPr>
              <w:t>, présidée par Lord Hardie, 2023</w:t>
            </w:r>
          </w:p>
        </w:tc>
      </w:tr>
      <w:tr w:rsidR="006774F4" w:rsidRPr="006774F4" w14:paraId="1EF02D7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749A29C"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EF02CB7" w14:textId="77777777" w:rsidR="006774F4" w:rsidRPr="006774F4" w:rsidRDefault="006774F4" w:rsidP="00AA5586">
            <w:pPr>
              <w:spacing w:after="0" w:line="254" w:lineRule="auto"/>
              <w:rPr>
                <w:lang w:val="fr-FR"/>
              </w:rPr>
            </w:pPr>
            <w:r>
              <w:rPr>
                <w:sz w:val="19"/>
                <w:szCs w:val="19"/>
                <w:lang w:val="fr-CA"/>
              </w:rPr>
              <w:t>Estimation initiale de 545 millions £; coût final de 776,7 millions £ pour une ligne de portée réduite</w:t>
            </w:r>
          </w:p>
        </w:tc>
      </w:tr>
      <w:tr w:rsidR="006774F4" w:rsidRPr="006774F4" w14:paraId="11657EE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F0DF969" w14:textId="77777777" w:rsidR="006774F4" w:rsidRDefault="006774F4" w:rsidP="00AA5586">
            <w:pPr>
              <w:spacing w:after="0" w:line="254" w:lineRule="auto"/>
              <w:jc w:val="center"/>
            </w:pPr>
            <w:r>
              <w:rPr>
                <w:b/>
                <w:bCs/>
                <w:color w:val="1B3A6B"/>
                <w:sz w:val="19"/>
                <w:szCs w:val="19"/>
                <w:lang w:val="fr-CA"/>
              </w:rPr>
              <w:t>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6262BA7" w14:textId="77777777" w:rsidR="006774F4" w:rsidRPr="006774F4" w:rsidRDefault="006774F4" w:rsidP="00AA5586">
            <w:pPr>
              <w:spacing w:after="0" w:line="254" w:lineRule="auto"/>
              <w:rPr>
                <w:lang w:val="fr-FR"/>
              </w:rPr>
            </w:pPr>
            <w:r>
              <w:rPr>
                <w:sz w:val="19"/>
                <w:szCs w:val="19"/>
                <w:lang w:val="fr-CA"/>
              </w:rPr>
              <w:t>Mise en service prévue à l’été 2011; ouverture le 31 mai 2014 avec une portée réduite</w:t>
            </w:r>
          </w:p>
        </w:tc>
      </w:tr>
      <w:tr w:rsidR="006774F4" w14:paraId="0E89C79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DC270EE"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77354D2" w14:textId="77777777" w:rsidR="006774F4" w:rsidRDefault="006774F4" w:rsidP="00AA5586">
            <w:pPr>
              <w:spacing w:after="0" w:line="254" w:lineRule="auto"/>
            </w:pPr>
            <w:r>
              <w:rPr>
                <w:sz w:val="19"/>
                <w:szCs w:val="19"/>
              </w:rPr>
              <w:t>C01, C02, C04, C05, C06, C08, C15</w:t>
            </w:r>
          </w:p>
        </w:tc>
      </w:tr>
      <w:tr w:rsidR="006774F4" w:rsidRPr="006774F4" w14:paraId="57866AE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6BADAC0" w14:textId="77777777" w:rsidR="006774F4" w:rsidRDefault="006774F4" w:rsidP="00AA5586">
            <w:pPr>
              <w:spacing w:after="0" w:line="254" w:lineRule="auto"/>
              <w:jc w:val="center"/>
            </w:pPr>
            <w:r>
              <w:rPr>
                <w:b/>
                <w:bCs/>
                <w:color w:val="1B3A6B"/>
                <w:sz w:val="19"/>
                <w:szCs w:val="19"/>
                <w:lang w:val="fr-CA"/>
              </w:rPr>
              <w:t>Cas canadien associé</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966CAFE" w14:textId="77777777" w:rsidR="006774F4" w:rsidRPr="006774F4" w:rsidRDefault="006774F4" w:rsidP="00AA5586">
            <w:pPr>
              <w:spacing w:after="0" w:line="254" w:lineRule="auto"/>
              <w:rPr>
                <w:color w:val="auto"/>
                <w:sz w:val="19"/>
                <w:szCs w:val="19"/>
                <w:lang w:val="fr-FR"/>
              </w:rPr>
            </w:pPr>
            <w:r>
              <w:rPr>
                <w:color w:val="auto"/>
                <w:sz w:val="19"/>
                <w:szCs w:val="19"/>
                <w:lang w:val="fr-CA"/>
              </w:rPr>
              <w:t>Étape 1 du train léger d’Ottawa</w:t>
            </w:r>
          </w:p>
        </w:tc>
      </w:tr>
    </w:tbl>
    <w:p w14:paraId="5AC0310E" w14:textId="77777777" w:rsidR="006774F4" w:rsidRDefault="006774F4" w:rsidP="006774F4">
      <w:pPr>
        <w:pStyle w:val="Heading2"/>
      </w:pPr>
      <w:bookmarkStart w:id="202" w:name="__RefHeading___Toc4983_3048004937"/>
      <w:bookmarkEnd w:id="202"/>
      <w:r>
        <w:rPr>
          <w:lang w:val="fr-CA"/>
        </w:rPr>
        <w:t>Constats du rapport</w:t>
      </w:r>
    </w:p>
    <w:p w14:paraId="1A26B9B5" w14:textId="77777777" w:rsidR="006774F4" w:rsidRPr="006774F4" w:rsidRDefault="006774F4" w:rsidP="006774F4">
      <w:pPr>
        <w:pStyle w:val="ListParagraph"/>
        <w:numPr>
          <w:ilvl w:val="0"/>
          <w:numId w:val="4"/>
        </w:numPr>
        <w:spacing w:after="100" w:line="276" w:lineRule="auto"/>
        <w:contextualSpacing w:val="0"/>
        <w:rPr>
          <w:lang w:val="fr-FR"/>
        </w:rPr>
      </w:pPr>
      <w:proofErr w:type="gramStart"/>
      <w:r>
        <w:rPr>
          <w:sz w:val="21"/>
          <w:szCs w:val="21"/>
          <w:lang w:val="fr-CA"/>
        </w:rPr>
        <w:t>la</w:t>
      </w:r>
      <w:proofErr w:type="gramEnd"/>
      <w:r>
        <w:rPr>
          <w:sz w:val="21"/>
          <w:szCs w:val="21"/>
          <w:lang w:val="fr-CA"/>
        </w:rPr>
        <w:t xml:space="preserve"> structure de gouvernance ne suivait aucun modèle reconnu et les responsabilités liées à l’exécution de certaines tâches n’étaient pas clairement attribuées</w:t>
      </w:r>
    </w:p>
    <w:p w14:paraId="5AAF2381" w14:textId="77777777" w:rsidR="006774F4" w:rsidRPr="006774F4" w:rsidRDefault="006774F4" w:rsidP="006774F4">
      <w:pPr>
        <w:pStyle w:val="ListParagraph"/>
        <w:numPr>
          <w:ilvl w:val="0"/>
          <w:numId w:val="4"/>
        </w:numPr>
        <w:spacing w:after="100" w:line="276" w:lineRule="auto"/>
        <w:contextualSpacing w:val="0"/>
        <w:rPr>
          <w:lang w:val="fr-FR"/>
        </w:rPr>
      </w:pPr>
      <w:proofErr w:type="gramStart"/>
      <w:r>
        <w:rPr>
          <w:sz w:val="21"/>
          <w:szCs w:val="21"/>
          <w:lang w:val="fr-CA"/>
        </w:rPr>
        <w:t>même</w:t>
      </w:r>
      <w:proofErr w:type="gramEnd"/>
      <w:r>
        <w:rPr>
          <w:sz w:val="21"/>
          <w:szCs w:val="21"/>
          <w:lang w:val="fr-CA"/>
        </w:rPr>
        <w:t xml:space="preserve"> si tie savait que le prix des travaux d’</w:t>
      </w:r>
      <w:proofErr w:type="spellStart"/>
      <w:r>
        <w:rPr>
          <w:sz w:val="21"/>
          <w:szCs w:val="21"/>
          <w:lang w:val="fr-CA"/>
        </w:rPr>
        <w:t>Infraco</w:t>
      </w:r>
      <w:proofErr w:type="spellEnd"/>
      <w:r>
        <w:rPr>
          <w:sz w:val="21"/>
          <w:szCs w:val="21"/>
          <w:lang w:val="fr-CA"/>
        </w:rPr>
        <w:t xml:space="preserve"> n’était pas fixé au moment de la conclusion du contrat, les élus du conseil n’ont pas été informés de cette évolution</w:t>
      </w:r>
    </w:p>
    <w:p w14:paraId="0BF1E209" w14:textId="77777777" w:rsidR="006774F4" w:rsidRPr="006774F4" w:rsidRDefault="006774F4" w:rsidP="006774F4">
      <w:pPr>
        <w:pStyle w:val="ListParagraph"/>
        <w:numPr>
          <w:ilvl w:val="0"/>
          <w:numId w:val="4"/>
        </w:numPr>
        <w:spacing w:after="100" w:line="276" w:lineRule="auto"/>
        <w:contextualSpacing w:val="0"/>
        <w:rPr>
          <w:lang w:val="fr-FR"/>
        </w:rPr>
      </w:pPr>
      <w:proofErr w:type="gramStart"/>
      <w:r>
        <w:rPr>
          <w:sz w:val="21"/>
          <w:szCs w:val="21"/>
          <w:lang w:val="fr-CA"/>
        </w:rPr>
        <w:t>au</w:t>
      </w:r>
      <w:proofErr w:type="gramEnd"/>
      <w:r>
        <w:rPr>
          <w:sz w:val="21"/>
          <w:szCs w:val="21"/>
          <w:lang w:val="fr-CA"/>
        </w:rPr>
        <w:t xml:space="preserve"> moment de la signature du contrat </w:t>
      </w:r>
      <w:proofErr w:type="spellStart"/>
      <w:r>
        <w:rPr>
          <w:sz w:val="21"/>
          <w:szCs w:val="21"/>
          <w:lang w:val="fr-CA"/>
        </w:rPr>
        <w:t>Infraco</w:t>
      </w:r>
      <w:proofErr w:type="spellEnd"/>
      <w:r>
        <w:rPr>
          <w:sz w:val="21"/>
          <w:szCs w:val="21"/>
          <w:lang w:val="fr-CA"/>
        </w:rPr>
        <w:t>, la conception était incomplète; son développement ultérieur, traité comme une modification aux termes du contrat, était donc inévitable</w:t>
      </w:r>
    </w:p>
    <w:p w14:paraId="59792266" w14:textId="77777777" w:rsidR="006774F4" w:rsidRPr="006774F4" w:rsidRDefault="006774F4" w:rsidP="006774F4">
      <w:pPr>
        <w:pStyle w:val="ListParagraph"/>
        <w:numPr>
          <w:ilvl w:val="0"/>
          <w:numId w:val="4"/>
        </w:numPr>
        <w:spacing w:after="100" w:line="276" w:lineRule="auto"/>
        <w:contextualSpacing w:val="0"/>
        <w:rPr>
          <w:sz w:val="21"/>
          <w:szCs w:val="21"/>
          <w:lang w:val="fr-FR"/>
        </w:rPr>
      </w:pPr>
      <w:proofErr w:type="gramStart"/>
      <w:r>
        <w:rPr>
          <w:sz w:val="21"/>
          <w:szCs w:val="21"/>
          <w:lang w:val="fr-CA"/>
        </w:rPr>
        <w:t>la</w:t>
      </w:r>
      <w:proofErr w:type="gramEnd"/>
      <w:r>
        <w:rPr>
          <w:sz w:val="21"/>
          <w:szCs w:val="21"/>
          <w:lang w:val="fr-CA"/>
        </w:rPr>
        <w:t xml:space="preserve"> recommandation 12 exige que les ministres écossais tiennent des comptes rendus complets des discussions et décisions ministérielles concernant les projets financés par des fonds publics</w:t>
      </w:r>
    </w:p>
    <w:p w14:paraId="17298690" w14:textId="77777777" w:rsidR="006774F4" w:rsidRPr="006774F4" w:rsidRDefault="006774F4" w:rsidP="006774F4">
      <w:pPr>
        <w:pStyle w:val="ListParagraph"/>
        <w:spacing w:after="100" w:line="276" w:lineRule="auto"/>
        <w:ind w:left="860"/>
        <w:rPr>
          <w:sz w:val="21"/>
          <w:szCs w:val="21"/>
          <w:lang w:val="fr-FR"/>
        </w:rPr>
      </w:pPr>
    </w:p>
    <w:p w14:paraId="2F1BFE2E" w14:textId="77777777" w:rsidR="006774F4" w:rsidRPr="006774F4" w:rsidRDefault="006774F4" w:rsidP="006774F4">
      <w:pPr>
        <w:pStyle w:val="Heading2"/>
        <w:rPr>
          <w:lang w:val="fr-FR"/>
        </w:rPr>
      </w:pPr>
      <w:bookmarkStart w:id="203" w:name="__RefHeading___Toc4985_3048004937"/>
      <w:bookmarkEnd w:id="203"/>
      <w:r>
        <w:rPr>
          <w:lang w:val="fr-CA"/>
        </w:rPr>
        <w:t>À comparer avec l’étape 1 du train léger d’Ottawa</w:t>
      </w:r>
    </w:p>
    <w:p w14:paraId="5FF30992"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Comparé au cas d’Ottawa, le parallèle est exact — et il n’a rien à voir avec le train léger comme tel. Dans les deux enquêtes, des élus ont reçu une version de la situation commerciale que l’organisme responsable de la réalisation savait différente de la réalité. Deux pays, deux décennies, même constat.</w:t>
      </w:r>
    </w:p>
    <w:p w14:paraId="09C2FE3C" w14:textId="77777777" w:rsidR="006774F4" w:rsidRPr="006774F4" w:rsidRDefault="006774F4" w:rsidP="006774F4">
      <w:pPr>
        <w:pStyle w:val="Heading2"/>
        <w:rPr>
          <w:lang w:val="fr-FR"/>
        </w:rPr>
      </w:pPr>
      <w:bookmarkStart w:id="204" w:name="__RefHeading___Toc4987_3048004937"/>
      <w:bookmarkStart w:id="205" w:name="_Toc239750744"/>
      <w:bookmarkEnd w:id="204"/>
      <w:r>
        <w:rPr>
          <w:lang w:val="fr-CA"/>
        </w:rPr>
        <w:t>Comparateur 2.  Bâtiments scolaires en Angleterre, Royaume-Uni</w:t>
      </w:r>
      <w:bookmarkEnd w:id="205"/>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08C81E8A" w14:textId="77777777" w:rsidTr="00AA5586">
        <w:trPr>
          <w:cantSplit/>
        </w:trPr>
        <w:tc>
          <w:tcPr>
            <w:tcW w:w="2700" w:type="dxa"/>
            <w:tcBorders>
              <w:bottom w:val="single" w:sz="4" w:space="0" w:color="000000"/>
            </w:tcBorders>
            <w:shd w:val="clear" w:color="auto" w:fill="E2E8F0"/>
            <w:vAlign w:val="center"/>
          </w:tcPr>
          <w:p w14:paraId="189FEF42"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4AAA77F0" w14:textId="77777777" w:rsidR="006774F4" w:rsidRDefault="006774F4" w:rsidP="00AA5586">
            <w:pPr>
              <w:spacing w:after="0" w:line="254" w:lineRule="auto"/>
              <w:jc w:val="center"/>
              <w:rPr>
                <w:b/>
                <w:bCs/>
                <w:sz w:val="19"/>
                <w:szCs w:val="19"/>
              </w:rPr>
            </w:pPr>
            <w:r>
              <w:rPr>
                <w:b/>
                <w:bCs/>
                <w:sz w:val="19"/>
                <w:szCs w:val="19"/>
              </w:rPr>
              <w:t>INT-09</w:t>
            </w:r>
          </w:p>
        </w:tc>
      </w:tr>
      <w:tr w:rsidR="006774F4" w14:paraId="37E151D3"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0483A47" w14:textId="77777777" w:rsidR="006774F4" w:rsidRDefault="006774F4" w:rsidP="00AA5586">
            <w:pPr>
              <w:spacing w:after="0" w:line="254" w:lineRule="auto"/>
              <w:jc w:val="center"/>
            </w:pPr>
            <w:r>
              <w:rPr>
                <w:b/>
                <w:bCs/>
                <w:color w:val="1B3A6B"/>
                <w:sz w:val="19"/>
                <w:szCs w:val="19"/>
                <w:lang w:val="fr-CA"/>
              </w:rPr>
              <w:lastRenderedPageBreak/>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DF0545C" w14:textId="77777777" w:rsidR="006774F4" w:rsidRDefault="006774F4" w:rsidP="00AA5586">
            <w:pPr>
              <w:spacing w:after="0" w:line="254" w:lineRule="auto"/>
            </w:pPr>
            <w:r>
              <w:rPr>
                <w:sz w:val="19"/>
                <w:szCs w:val="19"/>
                <w:lang w:val="fr-CA"/>
              </w:rPr>
              <w:t>National Audit Office, 2023</w:t>
            </w:r>
          </w:p>
        </w:tc>
      </w:tr>
      <w:tr w:rsidR="006774F4" w:rsidRPr="006774F4" w14:paraId="48E01FF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A0CCC04"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7FB906B" w14:textId="77777777" w:rsidR="006774F4" w:rsidRPr="006774F4" w:rsidRDefault="006774F4" w:rsidP="00AA5586">
            <w:pPr>
              <w:spacing w:after="0" w:line="254" w:lineRule="auto"/>
              <w:rPr>
                <w:lang w:val="fr-FR"/>
              </w:rPr>
            </w:pPr>
            <w:r>
              <w:rPr>
                <w:sz w:val="19"/>
                <w:szCs w:val="19"/>
                <w:lang w:val="fr-CA"/>
              </w:rPr>
              <w:t>2,3 milliards £ dépensés annuellement de 2016-2017 à 2022-2023, comparativement à des besoins évalués à 5,3 milliards £ par année</w:t>
            </w:r>
          </w:p>
        </w:tc>
      </w:tr>
      <w:tr w:rsidR="006774F4" w:rsidRPr="006774F4" w14:paraId="05A8167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5937A21F" w14:textId="77777777" w:rsidR="006774F4" w:rsidRDefault="006774F4" w:rsidP="00AA5586">
            <w:pPr>
              <w:spacing w:after="0" w:line="254" w:lineRule="auto"/>
              <w:jc w:val="center"/>
            </w:pPr>
            <w:r>
              <w:rPr>
                <w:b/>
                <w:bCs/>
                <w:color w:val="1B3A6B"/>
                <w:sz w:val="19"/>
                <w:szCs w:val="19"/>
                <w:lang w:val="fr-CA"/>
              </w:rPr>
              <w:t>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653531B" w14:textId="77777777" w:rsidR="006774F4" w:rsidRPr="006774F4" w:rsidRDefault="006774F4" w:rsidP="00AA5586">
            <w:pPr>
              <w:spacing w:after="0" w:line="254" w:lineRule="auto"/>
              <w:rPr>
                <w:lang w:val="fr-FR"/>
              </w:rPr>
            </w:pPr>
            <w:r>
              <w:rPr>
                <w:sz w:val="19"/>
                <w:szCs w:val="19"/>
                <w:lang w:val="fr-CA"/>
              </w:rPr>
              <w:t>Le Ministère considérait, dès l’été 2021, que la menace pour la sécurité des bâtiments scolaires constituait un risque critique</w:t>
            </w:r>
          </w:p>
        </w:tc>
      </w:tr>
      <w:tr w:rsidR="006774F4" w14:paraId="2136356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C729D0A"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3FF38E2" w14:textId="77777777" w:rsidR="006774F4" w:rsidRDefault="006774F4" w:rsidP="00AA5586">
            <w:pPr>
              <w:spacing w:after="0" w:line="254" w:lineRule="auto"/>
            </w:pPr>
            <w:r>
              <w:rPr>
                <w:sz w:val="19"/>
                <w:szCs w:val="19"/>
              </w:rPr>
              <w:t>C07, C12</w:t>
            </w:r>
          </w:p>
        </w:tc>
      </w:tr>
      <w:tr w:rsidR="006774F4" w:rsidRPr="006774F4" w14:paraId="07A5E296" w14:textId="77777777" w:rsidTr="00AA5586">
        <w:trPr>
          <w:cantSplit/>
          <w:trHeight w:val="300"/>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7ABA1A3" w14:textId="77777777" w:rsidR="006774F4" w:rsidRDefault="006774F4" w:rsidP="00AA5586">
            <w:pPr>
              <w:spacing w:after="0" w:line="254" w:lineRule="auto"/>
              <w:jc w:val="center"/>
            </w:pPr>
            <w:r>
              <w:rPr>
                <w:b/>
                <w:bCs/>
                <w:color w:val="1B3A6B"/>
                <w:sz w:val="19"/>
                <w:szCs w:val="19"/>
                <w:lang w:val="fr-CA"/>
              </w:rPr>
              <w:t>Cas canadien associé</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E64AF4C" w14:textId="77777777" w:rsidR="006774F4" w:rsidRPr="006774F4" w:rsidRDefault="006774F4" w:rsidP="00AA5586">
            <w:pPr>
              <w:spacing w:after="0" w:line="254" w:lineRule="auto"/>
              <w:rPr>
                <w:color w:val="auto"/>
                <w:sz w:val="19"/>
                <w:szCs w:val="19"/>
                <w:lang w:val="fr-FR"/>
              </w:rPr>
            </w:pPr>
            <w:r>
              <w:rPr>
                <w:color w:val="auto"/>
                <w:sz w:val="19"/>
                <w:szCs w:val="19"/>
                <w:lang w:val="fr-CA"/>
              </w:rPr>
              <w:t>Planification des immobilisations scolaires en Nouvelle-Écosse</w:t>
            </w:r>
          </w:p>
        </w:tc>
      </w:tr>
    </w:tbl>
    <w:p w14:paraId="01F23E28" w14:textId="77777777" w:rsidR="006774F4" w:rsidRDefault="006774F4" w:rsidP="006774F4">
      <w:pPr>
        <w:pStyle w:val="Heading2"/>
      </w:pPr>
      <w:bookmarkStart w:id="206" w:name="__RefHeading___Toc4989_3048004937"/>
      <w:bookmarkEnd w:id="206"/>
      <w:r>
        <w:rPr>
          <w:lang w:val="fr-CA"/>
        </w:rPr>
        <w:t>Constats du rapport</w:t>
      </w:r>
    </w:p>
    <w:p w14:paraId="454737B5" w14:textId="77777777" w:rsidR="006774F4" w:rsidRPr="006774F4" w:rsidRDefault="006774F4" w:rsidP="006774F4">
      <w:pPr>
        <w:pStyle w:val="ListParagraph"/>
        <w:numPr>
          <w:ilvl w:val="0"/>
          <w:numId w:val="34"/>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Ministère ne dispose actuellement pas d’information complète sur l’étendue et la gravité des problèmes potentiels de sécurité dans l’ensemble du parc scolaire</w:t>
      </w:r>
    </w:p>
    <w:p w14:paraId="5830F6EB" w14:textId="77777777" w:rsidR="006774F4" w:rsidRPr="006774F4" w:rsidRDefault="006774F4" w:rsidP="006774F4">
      <w:pPr>
        <w:pStyle w:val="ListParagraph"/>
        <w:numPr>
          <w:ilvl w:val="0"/>
          <w:numId w:val="34"/>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collectes de données à grande échelle du Ministère ont été principalement visuelles et n’ont donc pas été conçues pour fournir des données complètes sur les problèmes structurels</w:t>
      </w:r>
    </w:p>
    <w:p w14:paraId="697D6FE2" w14:textId="77777777" w:rsidR="006774F4" w:rsidRPr="006774F4" w:rsidRDefault="006774F4" w:rsidP="006774F4">
      <w:pPr>
        <w:pStyle w:val="ListParagraph"/>
        <w:numPr>
          <w:ilvl w:val="0"/>
          <w:numId w:val="34"/>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fonds servent aussi fréquemment à des réparations urgentes plutôt qu’à de l’entretien planifié, ce qui risque de ne pas offrir une bonne optimisation des ressources à long terme</w:t>
      </w:r>
    </w:p>
    <w:p w14:paraId="0C3A1B21" w14:textId="77777777" w:rsidR="006774F4" w:rsidRPr="006774F4" w:rsidRDefault="006774F4" w:rsidP="006774F4">
      <w:pPr>
        <w:pStyle w:val="ListParagraph"/>
        <w:numPr>
          <w:ilvl w:val="0"/>
          <w:numId w:val="34"/>
        </w:numPr>
        <w:spacing w:after="100" w:line="276" w:lineRule="auto"/>
        <w:contextualSpacing w:val="0"/>
        <w:rPr>
          <w:sz w:val="21"/>
          <w:szCs w:val="21"/>
          <w:lang w:val="fr-FR"/>
        </w:rPr>
      </w:pPr>
      <w:r>
        <w:rPr>
          <w:sz w:val="21"/>
          <w:szCs w:val="21"/>
          <w:lang w:val="fr-CA"/>
        </w:rPr>
        <w:t>38 % des quelque 64 000 bâtiments répartis dans 21 600 écoles ont dépassé leur durée de vie nominale initiale estimée</w:t>
      </w:r>
    </w:p>
    <w:p w14:paraId="2C2F754A" w14:textId="77777777" w:rsidR="006774F4" w:rsidRPr="006774F4" w:rsidRDefault="006774F4" w:rsidP="006774F4">
      <w:pPr>
        <w:pStyle w:val="ListParagraph"/>
        <w:spacing w:after="100" w:line="276" w:lineRule="auto"/>
        <w:rPr>
          <w:sz w:val="21"/>
          <w:szCs w:val="21"/>
          <w:lang w:val="fr-FR"/>
        </w:rPr>
      </w:pPr>
    </w:p>
    <w:p w14:paraId="33B3697B" w14:textId="77777777" w:rsidR="006774F4" w:rsidRPr="006774F4" w:rsidRDefault="006774F4" w:rsidP="006774F4">
      <w:pPr>
        <w:pStyle w:val="Heading2"/>
        <w:rPr>
          <w:lang w:val="fr-FR"/>
        </w:rPr>
      </w:pPr>
      <w:bookmarkStart w:id="207" w:name="__RefHeading___Toc4991_3048004937"/>
      <w:bookmarkEnd w:id="207"/>
      <w:r>
        <w:rPr>
          <w:lang w:val="fr-CA"/>
        </w:rPr>
        <w:t>À comparer avec la planification des immobilisations scolaires en Nouvelle-Écosse</w:t>
      </w:r>
    </w:p>
    <w:p w14:paraId="04E2661C"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Il s’agit du cas du RAAC, et la leçon est plus exigeante qu’elle n’en a l’air. L’Angleterre disposait d’un programme de collecte de données sur l’état des bâtiments. Comme celui-ci reposait sur des inspections visuelles, il ne pouvait pas détecter le problème structurel qu’on lui a ensuite demandé d’évaluer. Recueillir des données sur l’état des biens et recueillir les bonnes données sont deux projets différents.</w:t>
      </w:r>
    </w:p>
    <w:p w14:paraId="7C73EC27" w14:textId="77777777" w:rsidR="006774F4" w:rsidRPr="006774F4" w:rsidRDefault="006774F4" w:rsidP="006774F4">
      <w:pPr>
        <w:pStyle w:val="Heading2"/>
        <w:rPr>
          <w:lang w:val="fr-FR"/>
        </w:rPr>
      </w:pPr>
      <w:bookmarkStart w:id="208" w:name="__RefHeading___Toc4993_3048004937"/>
      <w:bookmarkStart w:id="209" w:name="_Toc239750745"/>
      <w:bookmarkEnd w:id="208"/>
      <w:r>
        <w:rPr>
          <w:lang w:val="fr-CA"/>
        </w:rPr>
        <w:t>Comparateur 3.  Train léger du centre-ville et du Sud-Est de Sydney, Australie, Nouvelle-Galles du Sud</w:t>
      </w:r>
      <w:bookmarkEnd w:id="209"/>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2AD3194F" w14:textId="77777777" w:rsidTr="00AA5586">
        <w:trPr>
          <w:cantSplit/>
        </w:trPr>
        <w:tc>
          <w:tcPr>
            <w:tcW w:w="2700" w:type="dxa"/>
            <w:tcBorders>
              <w:bottom w:val="single" w:sz="4" w:space="0" w:color="000000"/>
            </w:tcBorders>
            <w:shd w:val="clear" w:color="auto" w:fill="E2E8F0"/>
            <w:vAlign w:val="center"/>
          </w:tcPr>
          <w:p w14:paraId="063785EA"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1B190B4C" w14:textId="77777777" w:rsidR="006774F4" w:rsidRDefault="006774F4" w:rsidP="00AA5586">
            <w:pPr>
              <w:spacing w:after="0" w:line="254" w:lineRule="auto"/>
              <w:jc w:val="center"/>
              <w:rPr>
                <w:b/>
                <w:bCs/>
                <w:sz w:val="19"/>
                <w:szCs w:val="19"/>
              </w:rPr>
            </w:pPr>
            <w:r>
              <w:rPr>
                <w:b/>
                <w:bCs/>
                <w:sz w:val="19"/>
                <w:szCs w:val="19"/>
              </w:rPr>
              <w:t>INT-13</w:t>
            </w:r>
          </w:p>
        </w:tc>
      </w:tr>
      <w:tr w:rsidR="006774F4" w14:paraId="5F8152BF"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F7EB619"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B1CEB72" w14:textId="77777777" w:rsidR="006774F4" w:rsidRDefault="006774F4" w:rsidP="00AA5586">
            <w:pPr>
              <w:spacing w:after="0" w:line="254" w:lineRule="auto"/>
            </w:pPr>
            <w:r w:rsidRPr="006774F4">
              <w:rPr>
                <w:sz w:val="19"/>
                <w:szCs w:val="19"/>
                <w:lang w:val="en-US"/>
              </w:rPr>
              <w:t>Auditor-General for New South Wales, 2020</w:t>
            </w:r>
          </w:p>
        </w:tc>
      </w:tr>
      <w:tr w:rsidR="006774F4" w:rsidRPr="006774F4" w14:paraId="0A4C571D"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F505D86"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920CC59" w14:textId="77777777" w:rsidR="006774F4" w:rsidRPr="006774F4" w:rsidRDefault="006774F4" w:rsidP="00AA5586">
            <w:pPr>
              <w:spacing w:after="0" w:line="254" w:lineRule="auto"/>
              <w:rPr>
                <w:lang w:val="fr-FR"/>
              </w:rPr>
            </w:pPr>
            <w:r>
              <w:rPr>
                <w:sz w:val="19"/>
                <w:szCs w:val="19"/>
                <w:lang w:val="fr-CA"/>
              </w:rPr>
              <w:t>2,104 milliards AUD approuvés en février 2015; coût final de 3,147 milliards AUD</w:t>
            </w:r>
          </w:p>
        </w:tc>
      </w:tr>
      <w:tr w:rsidR="006774F4" w:rsidRPr="006774F4" w14:paraId="5EF6D61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DB6B2C7" w14:textId="77777777" w:rsidR="006774F4" w:rsidRDefault="006774F4" w:rsidP="00AA5586">
            <w:pPr>
              <w:spacing w:after="0" w:line="254" w:lineRule="auto"/>
              <w:jc w:val="center"/>
            </w:pPr>
            <w:r>
              <w:rPr>
                <w:b/>
                <w:bCs/>
                <w:color w:val="1B3A6B"/>
                <w:sz w:val="19"/>
                <w:szCs w:val="19"/>
                <w:lang w:val="fr-CA"/>
              </w:rPr>
              <w:t>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F53B75" w14:textId="77777777" w:rsidR="006774F4" w:rsidRPr="006774F4" w:rsidRDefault="006774F4" w:rsidP="00AA5586">
            <w:pPr>
              <w:spacing w:after="0" w:line="254" w:lineRule="auto"/>
              <w:rPr>
                <w:lang w:val="fr-FR"/>
              </w:rPr>
            </w:pPr>
            <w:r>
              <w:rPr>
                <w:sz w:val="19"/>
                <w:szCs w:val="19"/>
                <w:lang w:val="fr-CA"/>
              </w:rPr>
              <w:t>Premiers services voyageurs en décembre 2019 et avril 2020; temps de parcours nettement supérieurs à l’exigence contractuelle</w:t>
            </w:r>
          </w:p>
        </w:tc>
      </w:tr>
      <w:tr w:rsidR="006774F4" w14:paraId="7FDBCF17"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E7F067E" w14:textId="77777777" w:rsidR="006774F4" w:rsidRDefault="006774F4" w:rsidP="00AA5586">
            <w:pPr>
              <w:spacing w:after="0" w:line="254" w:lineRule="auto"/>
              <w:jc w:val="center"/>
            </w:pPr>
            <w:r>
              <w:rPr>
                <w:b/>
                <w:bCs/>
                <w:color w:val="1B3A6B"/>
                <w:sz w:val="19"/>
                <w:szCs w:val="19"/>
                <w:lang w:val="fr-CA"/>
              </w:rPr>
              <w:lastRenderedPageBreak/>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28F215" w14:textId="77777777" w:rsidR="006774F4" w:rsidRDefault="006774F4" w:rsidP="00AA5586">
            <w:pPr>
              <w:spacing w:after="0" w:line="254" w:lineRule="auto"/>
            </w:pPr>
            <w:r>
              <w:rPr>
                <w:sz w:val="19"/>
                <w:szCs w:val="19"/>
              </w:rPr>
              <w:t>C05, C07, C08, C09, C11</w:t>
            </w:r>
          </w:p>
        </w:tc>
      </w:tr>
      <w:tr w:rsidR="006774F4" w14:paraId="28DE035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2EA49FCA" w14:textId="77777777" w:rsidR="006774F4" w:rsidRDefault="006774F4" w:rsidP="00AA5586">
            <w:pPr>
              <w:spacing w:after="0" w:line="254" w:lineRule="auto"/>
              <w:jc w:val="center"/>
            </w:pPr>
            <w:r>
              <w:rPr>
                <w:b/>
                <w:bCs/>
                <w:color w:val="1B3A6B"/>
                <w:sz w:val="19"/>
                <w:szCs w:val="19"/>
                <w:lang w:val="fr-CA"/>
              </w:rPr>
              <w:t>Cas canadien associé</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C92DABA" w14:textId="77777777" w:rsidR="006774F4" w:rsidRDefault="006774F4" w:rsidP="00AA5586">
            <w:pPr>
              <w:spacing w:after="0" w:line="254" w:lineRule="auto"/>
              <w:rPr>
                <w:color w:val="auto"/>
                <w:sz w:val="19"/>
                <w:szCs w:val="19"/>
              </w:rPr>
            </w:pPr>
            <w:r>
              <w:rPr>
                <w:color w:val="auto"/>
                <w:sz w:val="19"/>
                <w:szCs w:val="19"/>
              </w:rPr>
              <w:t>Réseau express métropolitain</w:t>
            </w:r>
          </w:p>
        </w:tc>
      </w:tr>
    </w:tbl>
    <w:p w14:paraId="6831E3B6" w14:textId="77777777" w:rsidR="006774F4" w:rsidRDefault="006774F4" w:rsidP="006774F4">
      <w:pPr>
        <w:pStyle w:val="Heading2"/>
      </w:pPr>
      <w:bookmarkStart w:id="210" w:name="__RefHeading___Toc4995_3048004937"/>
      <w:bookmarkEnd w:id="210"/>
      <w:r>
        <w:rPr>
          <w:lang w:val="fr-CA"/>
        </w:rPr>
        <w:t>Constats du rapport</w:t>
      </w:r>
    </w:p>
    <w:p w14:paraId="5CF99A2D" w14:textId="77777777" w:rsidR="006774F4" w:rsidRPr="006774F4" w:rsidRDefault="006774F4" w:rsidP="006774F4">
      <w:pPr>
        <w:pStyle w:val="ListParagraph"/>
        <w:numPr>
          <w:ilvl w:val="0"/>
          <w:numId w:val="16"/>
        </w:numPr>
        <w:spacing w:after="100" w:line="276" w:lineRule="auto"/>
        <w:contextualSpacing w:val="0"/>
        <w:rPr>
          <w:sz w:val="21"/>
          <w:szCs w:val="21"/>
          <w:lang w:val="fr-FR"/>
        </w:rPr>
      </w:pPr>
      <w:proofErr w:type="gramStart"/>
      <w:r>
        <w:rPr>
          <w:sz w:val="21"/>
          <w:szCs w:val="21"/>
          <w:lang w:val="fr-CA"/>
        </w:rPr>
        <w:t>l’audit</w:t>
      </w:r>
      <w:proofErr w:type="gramEnd"/>
      <w:r>
        <w:rPr>
          <w:sz w:val="21"/>
          <w:szCs w:val="21"/>
          <w:lang w:val="fr-CA"/>
        </w:rPr>
        <w:t xml:space="preserve"> a relevé des coûts omis de 153,84 millions AUD pour les travaux préparatoires, le programme d’aide aux petites entreprises et les frais de financement</w:t>
      </w:r>
    </w:p>
    <w:p w14:paraId="6E9CA11D" w14:textId="77777777" w:rsidR="006774F4" w:rsidRPr="006774F4" w:rsidRDefault="006774F4" w:rsidP="006774F4">
      <w:pPr>
        <w:pStyle w:val="ListParagraph"/>
        <w:numPr>
          <w:ilvl w:val="0"/>
          <w:numId w:val="16"/>
        </w:numPr>
        <w:spacing w:after="100" w:line="276" w:lineRule="auto"/>
        <w:contextualSpacing w:val="0"/>
        <w:rPr>
          <w:sz w:val="21"/>
          <w:szCs w:val="21"/>
          <w:lang w:val="fr-FR"/>
        </w:rPr>
      </w:pPr>
      <w:r>
        <w:rPr>
          <w:sz w:val="21"/>
          <w:szCs w:val="21"/>
          <w:lang w:val="fr-CA"/>
        </w:rPr>
        <w:t>Transport for NSW a régulièrement transmis des rapports au conseil d’administration jusqu’en mai 2017; après cette date, un seul rapport a été fourni</w:t>
      </w:r>
    </w:p>
    <w:p w14:paraId="09DDBD8A" w14:textId="77777777" w:rsidR="006774F4" w:rsidRPr="006774F4" w:rsidRDefault="006774F4" w:rsidP="006774F4">
      <w:pPr>
        <w:pStyle w:val="ListParagraph"/>
        <w:numPr>
          <w:ilvl w:val="0"/>
          <w:numId w:val="16"/>
        </w:numPr>
        <w:spacing w:after="100" w:line="276" w:lineRule="auto"/>
        <w:contextualSpacing w:val="0"/>
        <w:rPr>
          <w:sz w:val="21"/>
          <w:szCs w:val="21"/>
          <w:lang w:val="fr-FR"/>
        </w:rPr>
      </w:pPr>
      <w:proofErr w:type="gramStart"/>
      <w:r>
        <w:rPr>
          <w:sz w:val="21"/>
          <w:szCs w:val="21"/>
          <w:lang w:val="fr-CA"/>
        </w:rPr>
        <w:t>l’entrepreneur</w:t>
      </w:r>
      <w:proofErr w:type="gramEnd"/>
      <w:r>
        <w:rPr>
          <w:sz w:val="21"/>
          <w:szCs w:val="21"/>
          <w:lang w:val="fr-CA"/>
        </w:rPr>
        <w:t xml:space="preserve"> a allégué que le gouvernement avait eu une conduite trompeuse en fournissant des renseignements sur la façon de gérer les câbles électriques de George Street, un différend portant sur les dossiers relatifs aux services souterrains</w:t>
      </w:r>
    </w:p>
    <w:p w14:paraId="1ABD0F1B" w14:textId="77777777" w:rsidR="006774F4" w:rsidRPr="006774F4" w:rsidRDefault="006774F4" w:rsidP="006774F4">
      <w:pPr>
        <w:pStyle w:val="ListParagraph"/>
        <w:numPr>
          <w:ilvl w:val="0"/>
          <w:numId w:val="16"/>
        </w:numPr>
        <w:spacing w:after="100" w:line="276" w:lineRule="auto"/>
        <w:contextualSpacing w:val="0"/>
        <w:rPr>
          <w:sz w:val="21"/>
          <w:szCs w:val="21"/>
          <w:lang w:val="fr-FR"/>
        </w:rPr>
      </w:pPr>
      <w:r>
        <w:rPr>
          <w:sz w:val="21"/>
          <w:szCs w:val="21"/>
          <w:lang w:val="fr-CA"/>
        </w:rPr>
        <w:t>97 % des trajets duraient au plus 51 minutes et 25 secondes, comparativement à une exigence contractuelle de 37,5 à 38,5 minutes</w:t>
      </w:r>
    </w:p>
    <w:p w14:paraId="61F94C95" w14:textId="77777777" w:rsidR="006774F4" w:rsidRPr="006774F4" w:rsidRDefault="006774F4" w:rsidP="006774F4">
      <w:pPr>
        <w:pStyle w:val="ListParagraph"/>
        <w:spacing w:after="100" w:line="276" w:lineRule="auto"/>
        <w:rPr>
          <w:sz w:val="21"/>
          <w:szCs w:val="21"/>
          <w:lang w:val="fr-FR"/>
        </w:rPr>
      </w:pPr>
    </w:p>
    <w:p w14:paraId="33FBDECD" w14:textId="77777777" w:rsidR="006774F4" w:rsidRPr="006774F4" w:rsidRDefault="006774F4" w:rsidP="006774F4">
      <w:pPr>
        <w:pStyle w:val="Heading2"/>
        <w:rPr>
          <w:lang w:val="fr-FR"/>
        </w:rPr>
      </w:pPr>
      <w:bookmarkStart w:id="211" w:name="__RefHeading___Toc4997_3048004937"/>
      <w:bookmarkEnd w:id="211"/>
      <w:r>
        <w:rPr>
          <w:lang w:val="fr-CA"/>
        </w:rPr>
        <w:t>À comparer avec le Réseau express métropolitain</w:t>
      </w:r>
    </w:p>
    <w:p w14:paraId="609F1CD0"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Le différend portant sur les dossiers des services souterrains est le détail que les propriétaires canadiens devraient retenir. Un désaccord sur ce qui se trouvait sous George Street s’est transformé en allégation contractuelle de conduite trompeuse. Les dossiers sur les infrastructures souterraines constituent un risque commercial, et non de simples archives.</w:t>
      </w:r>
    </w:p>
    <w:p w14:paraId="53213632" w14:textId="77777777" w:rsidR="006774F4" w:rsidRPr="006774F4" w:rsidRDefault="006774F4" w:rsidP="006774F4">
      <w:pPr>
        <w:pStyle w:val="Heading2"/>
        <w:rPr>
          <w:lang w:val="fr-FR"/>
        </w:rPr>
      </w:pPr>
      <w:bookmarkStart w:id="212" w:name="__RefHeading___Toc4999_3048004937"/>
      <w:bookmarkStart w:id="213" w:name="_Toc239750746"/>
      <w:bookmarkEnd w:id="212"/>
      <w:r>
        <w:rPr>
          <w:lang w:val="fr-CA"/>
        </w:rPr>
        <w:t>Comparateur 4.  Biens immobiliers fédéraux des États-Unis, États-Unis</w:t>
      </w:r>
      <w:bookmarkEnd w:id="213"/>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4364B797" w14:textId="77777777" w:rsidTr="00AA5586">
        <w:trPr>
          <w:cantSplit/>
        </w:trPr>
        <w:tc>
          <w:tcPr>
            <w:tcW w:w="2700" w:type="dxa"/>
            <w:tcBorders>
              <w:bottom w:val="single" w:sz="4" w:space="0" w:color="000000"/>
            </w:tcBorders>
            <w:shd w:val="clear" w:color="auto" w:fill="E2E8F0"/>
            <w:vAlign w:val="center"/>
          </w:tcPr>
          <w:p w14:paraId="3C2905D0"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0CD0DAC0" w14:textId="77777777" w:rsidR="006774F4" w:rsidRDefault="006774F4" w:rsidP="00AA5586">
            <w:pPr>
              <w:spacing w:after="0" w:line="254" w:lineRule="auto"/>
              <w:jc w:val="center"/>
              <w:rPr>
                <w:b/>
                <w:bCs/>
                <w:sz w:val="19"/>
                <w:szCs w:val="19"/>
              </w:rPr>
            </w:pPr>
            <w:r>
              <w:rPr>
                <w:b/>
                <w:bCs/>
                <w:sz w:val="19"/>
                <w:szCs w:val="19"/>
              </w:rPr>
              <w:t>INT-16</w:t>
            </w:r>
          </w:p>
        </w:tc>
      </w:tr>
      <w:tr w:rsidR="006774F4" w14:paraId="45E79530"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9E3EC68"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7F10F60" w14:textId="77777777" w:rsidR="006774F4" w:rsidRDefault="006774F4" w:rsidP="00AA5586">
            <w:pPr>
              <w:spacing w:after="0" w:line="254" w:lineRule="auto"/>
            </w:pPr>
            <w:proofErr w:type="spellStart"/>
            <w:r>
              <w:rPr>
                <w:sz w:val="19"/>
                <w:szCs w:val="19"/>
                <w:lang w:val="fr-CA"/>
              </w:rPr>
              <w:t>Government</w:t>
            </w:r>
            <w:proofErr w:type="spellEnd"/>
            <w:r>
              <w:rPr>
                <w:sz w:val="19"/>
                <w:szCs w:val="19"/>
                <w:lang w:val="fr-CA"/>
              </w:rPr>
              <w:t xml:space="preserve"> </w:t>
            </w:r>
            <w:proofErr w:type="spellStart"/>
            <w:r>
              <w:rPr>
                <w:sz w:val="19"/>
                <w:szCs w:val="19"/>
                <w:lang w:val="fr-CA"/>
              </w:rPr>
              <w:t>Accountability</w:t>
            </w:r>
            <w:proofErr w:type="spellEnd"/>
            <w:r>
              <w:rPr>
                <w:sz w:val="19"/>
                <w:szCs w:val="19"/>
                <w:lang w:val="fr-CA"/>
              </w:rPr>
              <w:t xml:space="preserve"> Office, 2025</w:t>
            </w:r>
          </w:p>
        </w:tc>
      </w:tr>
      <w:tr w:rsidR="006774F4" w:rsidRPr="006774F4" w14:paraId="0D48BA66"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60533EEF"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4A23143" w14:textId="77777777" w:rsidR="006774F4" w:rsidRPr="006774F4" w:rsidRDefault="006774F4" w:rsidP="00AA5586">
            <w:pPr>
              <w:spacing w:after="0" w:line="254" w:lineRule="auto"/>
              <w:rPr>
                <w:lang w:val="fr-FR"/>
              </w:rPr>
            </w:pPr>
            <w:r>
              <w:rPr>
                <w:sz w:val="19"/>
                <w:szCs w:val="19"/>
                <w:lang w:val="fr-CA"/>
              </w:rPr>
              <w:t>Environ 277 000 bâtiments; coûts annuels d’entretien et d’exploitation d’environ 10,3 milliards USD pour l’exercice 2023</w:t>
            </w:r>
          </w:p>
        </w:tc>
      </w:tr>
      <w:tr w:rsidR="006774F4" w:rsidRPr="006774F4" w14:paraId="0625FE39"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3A2393A0" w14:textId="77777777" w:rsidR="006774F4" w:rsidRDefault="006774F4" w:rsidP="00AA5586">
            <w:pPr>
              <w:spacing w:after="0" w:line="254" w:lineRule="auto"/>
              <w:jc w:val="center"/>
            </w:pPr>
            <w:r>
              <w:rPr>
                <w:b/>
                <w:bCs/>
                <w:color w:val="1B3A6B"/>
                <w:sz w:val="19"/>
                <w:szCs w:val="19"/>
                <w:lang w:val="fr-CA"/>
              </w:rPr>
              <w:t>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1E3404A" w14:textId="77777777" w:rsidR="006774F4" w:rsidRPr="006774F4" w:rsidRDefault="006774F4" w:rsidP="00AA5586">
            <w:pPr>
              <w:spacing w:after="0" w:line="254" w:lineRule="auto"/>
              <w:rPr>
                <w:lang w:val="fr-FR"/>
              </w:rPr>
            </w:pPr>
            <w:r>
              <w:rPr>
                <w:sz w:val="19"/>
                <w:szCs w:val="19"/>
                <w:lang w:val="fr-CA"/>
              </w:rPr>
              <w:t>Figure sur la High-Risk List depuis 22 ans</w:t>
            </w:r>
          </w:p>
        </w:tc>
      </w:tr>
      <w:tr w:rsidR="006774F4" w14:paraId="73FEAAFB"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A96920B"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D6DAFD0" w14:textId="77777777" w:rsidR="006774F4" w:rsidRDefault="006774F4" w:rsidP="00AA5586">
            <w:pPr>
              <w:spacing w:after="0" w:line="254" w:lineRule="auto"/>
            </w:pPr>
            <w:r>
              <w:rPr>
                <w:sz w:val="19"/>
                <w:szCs w:val="19"/>
              </w:rPr>
              <w:t>C07, C11, C12, C15</w:t>
            </w:r>
          </w:p>
        </w:tc>
      </w:tr>
      <w:tr w:rsidR="006774F4" w:rsidRPr="006774F4" w14:paraId="1252A9A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BF25918" w14:textId="77777777" w:rsidR="006774F4" w:rsidRDefault="006774F4" w:rsidP="00AA5586">
            <w:pPr>
              <w:spacing w:after="0" w:line="254" w:lineRule="auto"/>
              <w:jc w:val="center"/>
            </w:pPr>
            <w:r>
              <w:rPr>
                <w:b/>
                <w:bCs/>
                <w:color w:val="1B3A6B"/>
                <w:sz w:val="19"/>
                <w:szCs w:val="19"/>
                <w:lang w:val="fr-CA"/>
              </w:rPr>
              <w:t>Cas canadien associé</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B50B593" w14:textId="77777777" w:rsidR="006774F4" w:rsidRPr="006774F4" w:rsidRDefault="006774F4" w:rsidP="00AA5586">
            <w:pPr>
              <w:spacing w:after="0" w:line="254" w:lineRule="auto"/>
              <w:rPr>
                <w:color w:val="auto"/>
                <w:sz w:val="19"/>
                <w:szCs w:val="19"/>
                <w:lang w:val="fr-FR"/>
              </w:rPr>
            </w:pPr>
            <w:r>
              <w:rPr>
                <w:color w:val="auto"/>
                <w:sz w:val="19"/>
                <w:szCs w:val="19"/>
                <w:lang w:val="fr-CA"/>
              </w:rPr>
              <w:t>Le portefeuille fédéral de locaux à bureaux</w:t>
            </w:r>
          </w:p>
        </w:tc>
      </w:tr>
    </w:tbl>
    <w:p w14:paraId="0843898C" w14:textId="77777777" w:rsidR="006774F4" w:rsidRDefault="006774F4" w:rsidP="006774F4">
      <w:pPr>
        <w:pStyle w:val="Heading2"/>
      </w:pPr>
      <w:bookmarkStart w:id="214" w:name="__RefHeading___Toc5001_3048004937"/>
      <w:bookmarkEnd w:id="214"/>
      <w:r>
        <w:rPr>
          <w:lang w:val="fr-CA"/>
        </w:rPr>
        <w:t>Constats du rapport</w:t>
      </w:r>
    </w:p>
    <w:p w14:paraId="22006879" w14:textId="77777777" w:rsidR="006774F4" w:rsidRPr="006774F4" w:rsidRDefault="006774F4" w:rsidP="006774F4">
      <w:pPr>
        <w:pStyle w:val="ListParagraph"/>
        <w:numPr>
          <w:ilvl w:val="0"/>
          <w:numId w:val="33"/>
        </w:numPr>
        <w:spacing w:after="100" w:line="276" w:lineRule="auto"/>
        <w:contextualSpacing w:val="0"/>
        <w:rPr>
          <w:sz w:val="21"/>
          <w:szCs w:val="21"/>
          <w:lang w:val="fr-FR"/>
        </w:rPr>
      </w:pPr>
      <w:proofErr w:type="gramStart"/>
      <w:r>
        <w:rPr>
          <w:sz w:val="21"/>
          <w:szCs w:val="21"/>
          <w:lang w:val="fr-CA"/>
        </w:rPr>
        <w:t>la</w:t>
      </w:r>
      <w:proofErr w:type="gramEnd"/>
      <w:r>
        <w:rPr>
          <w:sz w:val="21"/>
          <w:szCs w:val="21"/>
          <w:lang w:val="fr-CA"/>
        </w:rPr>
        <w:t xml:space="preserve"> gestion des biens immobiliers fédéraux figure sur la High-Risk List depuis 22 ans, le gouvernement conservant plus de biens immobiliers qu’il n’en a besoin</w:t>
      </w:r>
    </w:p>
    <w:p w14:paraId="04B4AEAC" w14:textId="77777777" w:rsidR="006774F4" w:rsidRPr="006774F4" w:rsidRDefault="006774F4" w:rsidP="006774F4">
      <w:pPr>
        <w:pStyle w:val="ListParagraph"/>
        <w:numPr>
          <w:ilvl w:val="0"/>
          <w:numId w:val="33"/>
        </w:numPr>
        <w:spacing w:after="100" w:line="276" w:lineRule="auto"/>
        <w:contextualSpacing w:val="0"/>
        <w:rPr>
          <w:sz w:val="21"/>
          <w:szCs w:val="21"/>
          <w:lang w:val="fr-FR"/>
        </w:rPr>
      </w:pPr>
      <w:proofErr w:type="gramStart"/>
      <w:r>
        <w:rPr>
          <w:sz w:val="21"/>
          <w:szCs w:val="21"/>
          <w:lang w:val="fr-CA"/>
        </w:rPr>
        <w:t>l’arriéré</w:t>
      </w:r>
      <w:proofErr w:type="gramEnd"/>
      <w:r>
        <w:rPr>
          <w:sz w:val="21"/>
          <w:szCs w:val="21"/>
          <w:lang w:val="fr-CA"/>
        </w:rPr>
        <w:t xml:space="preserve"> de réparations a plus que doublé, passant de 171 milliards USD à 370 milliards USD entre l’exercice 2017 et l’exercice 2024</w:t>
      </w:r>
    </w:p>
    <w:p w14:paraId="229D9F41" w14:textId="77777777" w:rsidR="006774F4" w:rsidRPr="006774F4" w:rsidRDefault="006774F4" w:rsidP="006774F4">
      <w:pPr>
        <w:pStyle w:val="ListParagraph"/>
        <w:numPr>
          <w:ilvl w:val="0"/>
          <w:numId w:val="33"/>
        </w:numPr>
        <w:spacing w:after="100" w:line="276" w:lineRule="auto"/>
        <w:contextualSpacing w:val="0"/>
        <w:rPr>
          <w:sz w:val="21"/>
          <w:szCs w:val="21"/>
          <w:lang w:val="fr-FR"/>
        </w:rPr>
      </w:pPr>
      <w:proofErr w:type="gramStart"/>
      <w:r>
        <w:rPr>
          <w:sz w:val="21"/>
          <w:szCs w:val="21"/>
          <w:lang w:val="fr-CA"/>
        </w:rPr>
        <w:t>plus</w:t>
      </w:r>
      <w:proofErr w:type="gramEnd"/>
      <w:r>
        <w:rPr>
          <w:sz w:val="21"/>
          <w:szCs w:val="21"/>
          <w:lang w:val="fr-CA"/>
        </w:rPr>
        <w:t xml:space="preserve"> de 98 % des adresses étaient correctement formatées, mais les données de localisation comportent toujours des erreurs</w:t>
      </w:r>
    </w:p>
    <w:p w14:paraId="13F33EE2" w14:textId="77777777" w:rsidR="006774F4" w:rsidRPr="006774F4" w:rsidRDefault="006774F4" w:rsidP="006774F4">
      <w:pPr>
        <w:pStyle w:val="ListParagraph"/>
        <w:numPr>
          <w:ilvl w:val="0"/>
          <w:numId w:val="33"/>
        </w:numPr>
        <w:spacing w:after="100" w:line="276" w:lineRule="auto"/>
        <w:contextualSpacing w:val="0"/>
        <w:rPr>
          <w:sz w:val="21"/>
          <w:szCs w:val="21"/>
          <w:lang w:val="fr-FR"/>
        </w:rPr>
      </w:pPr>
      <w:r>
        <w:rPr>
          <w:sz w:val="21"/>
          <w:szCs w:val="21"/>
          <w:lang w:val="fr-CA"/>
        </w:rPr>
        <w:lastRenderedPageBreak/>
        <w:t>57 recommandations du GAO portant sur les propriétés sous-utilisées, la fiabilité des données, la sécurité des installations et l’état des bâtiments ne sont toujours pas entièrement mises en œuvre</w:t>
      </w:r>
    </w:p>
    <w:p w14:paraId="75C01567" w14:textId="77777777" w:rsidR="006774F4" w:rsidRPr="006774F4" w:rsidRDefault="006774F4" w:rsidP="006774F4">
      <w:pPr>
        <w:pStyle w:val="Heading2"/>
        <w:rPr>
          <w:lang w:val="fr-FR"/>
        </w:rPr>
      </w:pPr>
      <w:bookmarkStart w:id="215" w:name="__RefHeading___Toc5003_3048004937"/>
      <w:bookmarkEnd w:id="215"/>
      <w:r>
        <w:rPr>
          <w:lang w:val="fr-CA"/>
        </w:rPr>
        <w:t>À comparer avec le portefeuille fédéral de locaux à bureaux</w:t>
      </w:r>
    </w:p>
    <w:p w14:paraId="6501FE30"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Vingt-deux ans sur une liste de secteurs à risque élevé, 57 recommandations toujours ouvertes et un arriéré de réparations qui a doublé en sept ans. Mis en parallèle avec l’audit du portefeuille fédéral de bureaux du Canada, ce cas constitue la preuve la plus solide dont nous disposons que le problème est structurel plutôt que propre à un pays.</w:t>
      </w:r>
    </w:p>
    <w:p w14:paraId="18815553" w14:textId="77777777" w:rsidR="006774F4" w:rsidRDefault="006774F4" w:rsidP="006774F4">
      <w:pPr>
        <w:pStyle w:val="Heading2"/>
      </w:pPr>
      <w:bookmarkStart w:id="216" w:name="__RefHeading___Toc5005_3048004937"/>
      <w:bookmarkStart w:id="217" w:name="_Toc239750747"/>
      <w:bookmarkEnd w:id="216"/>
      <w:r>
        <w:rPr>
          <w:lang w:val="fr-CA"/>
        </w:rPr>
        <w:t xml:space="preserve">Comparateur 5.  National </w:t>
      </w:r>
      <w:proofErr w:type="spellStart"/>
      <w:r>
        <w:rPr>
          <w:lang w:val="fr-CA"/>
        </w:rPr>
        <w:t>Children’s</w:t>
      </w:r>
      <w:proofErr w:type="spellEnd"/>
      <w:r>
        <w:rPr>
          <w:lang w:val="fr-CA"/>
        </w:rPr>
        <w:t xml:space="preserve"> Hospital, Dublin, Irlande</w:t>
      </w:r>
      <w:bookmarkEnd w:id="217"/>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2700"/>
        <w:gridCol w:w="7540"/>
      </w:tblGrid>
      <w:tr w:rsidR="006774F4" w14:paraId="5BD134EF" w14:textId="77777777" w:rsidTr="00AA5586">
        <w:trPr>
          <w:cantSplit/>
        </w:trPr>
        <w:tc>
          <w:tcPr>
            <w:tcW w:w="2700" w:type="dxa"/>
            <w:tcBorders>
              <w:bottom w:val="single" w:sz="4" w:space="0" w:color="000000"/>
            </w:tcBorders>
            <w:shd w:val="clear" w:color="auto" w:fill="E2E8F0"/>
            <w:vAlign w:val="center"/>
          </w:tcPr>
          <w:p w14:paraId="34B31B7B" w14:textId="77777777" w:rsidR="006774F4" w:rsidRDefault="006774F4" w:rsidP="00AA5586">
            <w:pPr>
              <w:spacing w:after="0" w:line="254" w:lineRule="auto"/>
              <w:jc w:val="center"/>
            </w:pPr>
            <w:r>
              <w:rPr>
                <w:b/>
                <w:bCs/>
                <w:color w:val="1B3A6B"/>
                <w:sz w:val="19"/>
                <w:szCs w:val="19"/>
                <w:lang w:val="fr-CA"/>
              </w:rPr>
              <w:t>ID du registre</w:t>
            </w:r>
          </w:p>
        </w:tc>
        <w:tc>
          <w:tcPr>
            <w:tcW w:w="7539" w:type="dxa"/>
            <w:tcBorders>
              <w:bottom w:val="single" w:sz="4" w:space="0" w:color="000000"/>
            </w:tcBorders>
            <w:shd w:val="clear" w:color="auto" w:fill="F2F4F7"/>
            <w:vAlign w:val="center"/>
          </w:tcPr>
          <w:p w14:paraId="56321EB7" w14:textId="77777777" w:rsidR="006774F4" w:rsidRDefault="006774F4" w:rsidP="00AA5586">
            <w:pPr>
              <w:spacing w:after="0" w:line="254" w:lineRule="auto"/>
              <w:jc w:val="center"/>
              <w:rPr>
                <w:b/>
                <w:bCs/>
                <w:sz w:val="19"/>
                <w:szCs w:val="19"/>
              </w:rPr>
            </w:pPr>
            <w:r>
              <w:rPr>
                <w:b/>
                <w:bCs/>
                <w:sz w:val="19"/>
                <w:szCs w:val="19"/>
              </w:rPr>
              <w:t>INT-18</w:t>
            </w:r>
          </w:p>
        </w:tc>
      </w:tr>
      <w:tr w:rsidR="006774F4" w:rsidRPr="006774F4" w14:paraId="66C13085"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03E8A898" w14:textId="77777777" w:rsidR="006774F4" w:rsidRDefault="006774F4" w:rsidP="00AA5586">
            <w:pPr>
              <w:spacing w:after="0" w:line="254" w:lineRule="auto"/>
              <w:jc w:val="center"/>
            </w:pPr>
            <w:r>
              <w:rPr>
                <w:b/>
                <w:bCs/>
                <w:color w:val="1B3A6B"/>
                <w:sz w:val="19"/>
                <w:szCs w:val="19"/>
                <w:lang w:val="fr-CA"/>
              </w:rPr>
              <w:t>Organisme de surveillance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F9874B0" w14:textId="77777777" w:rsidR="006774F4" w:rsidRPr="006774F4" w:rsidRDefault="006774F4" w:rsidP="00AA5586">
            <w:pPr>
              <w:spacing w:after="0" w:line="254" w:lineRule="auto"/>
              <w:rPr>
                <w:lang w:val="fr-FR"/>
              </w:rPr>
            </w:pPr>
            <w:r>
              <w:rPr>
                <w:sz w:val="19"/>
                <w:szCs w:val="19"/>
                <w:lang w:val="fr-CA"/>
              </w:rPr>
              <w:t>PricewaterhouseCoopers, mandaté par le gouvernement de l’Irlande, 2019</w:t>
            </w:r>
          </w:p>
        </w:tc>
      </w:tr>
      <w:tr w:rsidR="006774F4" w:rsidRPr="006774F4" w14:paraId="402F4E04"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C6F3B15" w14:textId="77777777" w:rsidR="006774F4" w:rsidRDefault="006774F4" w:rsidP="00AA5586">
            <w:pPr>
              <w:spacing w:after="0" w:line="254" w:lineRule="auto"/>
              <w:jc w:val="center"/>
            </w:pPr>
            <w:r>
              <w:rPr>
                <w:b/>
                <w:bCs/>
                <w:color w:val="1B3A6B"/>
                <w:sz w:val="19"/>
                <w:szCs w:val="19"/>
                <w:lang w:val="fr-CA"/>
              </w:rPr>
              <w:t>Valeur du projet</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3A4328" w14:textId="77777777" w:rsidR="006774F4" w:rsidRPr="006774F4" w:rsidRDefault="006774F4" w:rsidP="00AA5586">
            <w:pPr>
              <w:spacing w:after="0" w:line="254" w:lineRule="auto"/>
              <w:rPr>
                <w:lang w:val="fr-FR"/>
              </w:rPr>
            </w:pPr>
            <w:r>
              <w:rPr>
                <w:sz w:val="19"/>
                <w:szCs w:val="19"/>
                <w:lang w:val="fr-CA"/>
              </w:rPr>
              <w:t xml:space="preserve">790 millions EUR approuvés en 2013; 983 millions EUR dans le </w:t>
            </w:r>
            <w:proofErr w:type="spellStart"/>
            <w:r>
              <w:rPr>
                <w:sz w:val="19"/>
                <w:szCs w:val="19"/>
                <w:lang w:val="fr-CA"/>
              </w:rPr>
              <w:t>Definitive</w:t>
            </w:r>
            <w:proofErr w:type="spellEnd"/>
            <w:r>
              <w:rPr>
                <w:sz w:val="19"/>
                <w:szCs w:val="19"/>
                <w:lang w:val="fr-CA"/>
              </w:rPr>
              <w:t xml:space="preserve"> Business Case d’avril 2017; 1,43 milliard EUR projeté en décembre 2018</w:t>
            </w:r>
          </w:p>
        </w:tc>
      </w:tr>
      <w:tr w:rsidR="006774F4" w:rsidRPr="006774F4" w14:paraId="3854838A"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71D0CC49" w14:textId="77777777" w:rsidR="006774F4" w:rsidRDefault="006774F4" w:rsidP="00AA5586">
            <w:pPr>
              <w:spacing w:after="0" w:line="254" w:lineRule="auto"/>
              <w:jc w:val="center"/>
            </w:pPr>
            <w:r>
              <w:rPr>
                <w:b/>
                <w:bCs/>
                <w:color w:val="1B3A6B"/>
                <w:sz w:val="19"/>
                <w:szCs w:val="19"/>
                <w:lang w:val="fr-CA"/>
              </w:rPr>
              <w:t>Échéancier</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3A0EBE" w14:textId="77777777" w:rsidR="006774F4" w:rsidRPr="006774F4" w:rsidRDefault="006774F4" w:rsidP="00AA5586">
            <w:pPr>
              <w:spacing w:after="0" w:line="254" w:lineRule="auto"/>
              <w:rPr>
                <w:lang w:val="fr-FR"/>
              </w:rPr>
            </w:pPr>
            <w:r>
              <w:rPr>
                <w:sz w:val="19"/>
                <w:szCs w:val="19"/>
                <w:lang w:val="fr-CA"/>
              </w:rPr>
              <w:t>Les retards ont été identifiés comme l’un des facteurs ayant contribué à l’augmentation des coûts</w:t>
            </w:r>
          </w:p>
        </w:tc>
      </w:tr>
      <w:tr w:rsidR="006774F4" w14:paraId="304CE1FE"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D4709FF" w14:textId="77777777" w:rsidR="006774F4" w:rsidRDefault="006774F4" w:rsidP="00AA5586">
            <w:pPr>
              <w:spacing w:after="0" w:line="254" w:lineRule="auto"/>
              <w:jc w:val="center"/>
            </w:pPr>
            <w:r>
              <w:rPr>
                <w:b/>
                <w:bCs/>
                <w:color w:val="1B3A6B"/>
                <w:sz w:val="19"/>
                <w:szCs w:val="19"/>
                <w:lang w:val="fr-CA"/>
              </w:rPr>
              <w:t>Codes de cause</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9572C57" w14:textId="77777777" w:rsidR="006774F4" w:rsidRDefault="006774F4" w:rsidP="00AA5586">
            <w:pPr>
              <w:spacing w:after="0" w:line="254" w:lineRule="auto"/>
            </w:pPr>
            <w:r>
              <w:rPr>
                <w:sz w:val="19"/>
                <w:szCs w:val="19"/>
              </w:rPr>
              <w:t>C01, C02, C04, C05, C06, C08</w:t>
            </w:r>
          </w:p>
        </w:tc>
      </w:tr>
      <w:tr w:rsidR="006774F4" w14:paraId="49574FB8" w14:textId="77777777" w:rsidTr="00AA5586">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E2E8F0"/>
            <w:vAlign w:val="center"/>
          </w:tcPr>
          <w:p w14:paraId="1086A5B1" w14:textId="77777777" w:rsidR="006774F4" w:rsidRDefault="006774F4" w:rsidP="00AA5586">
            <w:pPr>
              <w:spacing w:after="0" w:line="254" w:lineRule="auto"/>
              <w:jc w:val="center"/>
            </w:pPr>
            <w:r>
              <w:rPr>
                <w:b/>
                <w:bCs/>
                <w:color w:val="1B3A6B"/>
                <w:sz w:val="19"/>
                <w:szCs w:val="19"/>
                <w:lang w:val="fr-CA"/>
              </w:rPr>
              <w:t>Cas canadien associé</w:t>
            </w:r>
          </w:p>
        </w:tc>
        <w:tc>
          <w:tcPr>
            <w:tcW w:w="753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88F37AB" w14:textId="77777777" w:rsidR="006774F4" w:rsidRDefault="006774F4" w:rsidP="00AA5586">
            <w:pPr>
              <w:spacing w:after="0" w:line="254" w:lineRule="auto"/>
              <w:rPr>
                <w:color w:val="auto"/>
                <w:sz w:val="19"/>
                <w:szCs w:val="19"/>
              </w:rPr>
            </w:pPr>
            <w:r>
              <w:rPr>
                <w:color w:val="auto"/>
                <w:sz w:val="19"/>
                <w:szCs w:val="19"/>
                <w:lang w:val="fr-CA"/>
              </w:rPr>
              <w:t>Hôpital territorial Stanton</w:t>
            </w:r>
          </w:p>
        </w:tc>
      </w:tr>
    </w:tbl>
    <w:p w14:paraId="359A3351" w14:textId="77777777" w:rsidR="006774F4" w:rsidRDefault="006774F4" w:rsidP="006774F4">
      <w:pPr>
        <w:pStyle w:val="Heading2"/>
      </w:pPr>
      <w:bookmarkStart w:id="218" w:name="__RefHeading___Toc5007_3048004937"/>
      <w:bookmarkEnd w:id="218"/>
      <w:r>
        <w:rPr>
          <w:lang w:val="fr-CA"/>
        </w:rPr>
        <w:t>Constats du rapport</w:t>
      </w:r>
    </w:p>
    <w:p w14:paraId="77AF6C5C" w14:textId="77777777" w:rsidR="006774F4" w:rsidRPr="006774F4" w:rsidRDefault="006774F4" w:rsidP="006774F4">
      <w:pPr>
        <w:pStyle w:val="ListParagraph"/>
        <w:numPr>
          <w:ilvl w:val="0"/>
          <w:numId w:val="6"/>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budget initial reposait sur des bases déficientes et les risques avaient été sous-estimés dans l’analyse de rentabilisation</w:t>
      </w:r>
    </w:p>
    <w:p w14:paraId="1FDCFFA2" w14:textId="77777777" w:rsidR="006774F4" w:rsidRPr="006774F4" w:rsidRDefault="006774F4" w:rsidP="006774F4">
      <w:pPr>
        <w:pStyle w:val="ListParagraph"/>
        <w:numPr>
          <w:ilvl w:val="0"/>
          <w:numId w:val="6"/>
        </w:numPr>
        <w:spacing w:after="100" w:line="276" w:lineRule="auto"/>
        <w:contextualSpacing w:val="0"/>
        <w:rPr>
          <w:sz w:val="21"/>
          <w:szCs w:val="21"/>
          <w:lang w:val="fr-FR"/>
        </w:rPr>
      </w:pPr>
      <w:proofErr w:type="gramStart"/>
      <w:r>
        <w:rPr>
          <w:sz w:val="21"/>
          <w:szCs w:val="21"/>
          <w:lang w:val="fr-CA"/>
        </w:rPr>
        <w:t>le</w:t>
      </w:r>
      <w:proofErr w:type="gramEnd"/>
      <w:r>
        <w:rPr>
          <w:sz w:val="21"/>
          <w:szCs w:val="21"/>
          <w:lang w:val="fr-CA"/>
        </w:rPr>
        <w:t xml:space="preserve"> budget sous-estimait considérablement le coût final probable parce que les contrôles nécessaires pour atténuer les risques de l’approche en deux étapes n’avaient pas été mis en place</w:t>
      </w:r>
    </w:p>
    <w:p w14:paraId="7C47A737" w14:textId="77777777" w:rsidR="006774F4" w:rsidRPr="006774F4" w:rsidRDefault="006774F4" w:rsidP="006774F4">
      <w:pPr>
        <w:pStyle w:val="ListParagraph"/>
        <w:numPr>
          <w:ilvl w:val="0"/>
          <w:numId w:val="6"/>
        </w:numPr>
        <w:spacing w:after="100" w:line="276" w:lineRule="auto"/>
        <w:contextualSpacing w:val="0"/>
        <w:rPr>
          <w:sz w:val="21"/>
          <w:szCs w:val="21"/>
          <w:lang w:val="fr-FR"/>
        </w:rPr>
      </w:pPr>
      <w:proofErr w:type="gramStart"/>
      <w:r>
        <w:rPr>
          <w:sz w:val="21"/>
          <w:szCs w:val="21"/>
          <w:lang w:val="fr-CA"/>
        </w:rPr>
        <w:t>l’analyse</w:t>
      </w:r>
      <w:proofErr w:type="gramEnd"/>
      <w:r>
        <w:rPr>
          <w:sz w:val="21"/>
          <w:szCs w:val="21"/>
          <w:lang w:val="fr-CA"/>
        </w:rPr>
        <w:t xml:space="preserve"> de rentabilisation surestimait le niveau de maturité du projet</w:t>
      </w:r>
    </w:p>
    <w:p w14:paraId="63E6E01D" w14:textId="77777777" w:rsidR="006774F4" w:rsidRPr="006774F4" w:rsidRDefault="006774F4" w:rsidP="006774F4">
      <w:pPr>
        <w:pStyle w:val="ListParagraph"/>
        <w:numPr>
          <w:ilvl w:val="0"/>
          <w:numId w:val="6"/>
        </w:numPr>
        <w:spacing w:after="100" w:line="276" w:lineRule="auto"/>
        <w:contextualSpacing w:val="0"/>
        <w:rPr>
          <w:sz w:val="21"/>
          <w:szCs w:val="21"/>
          <w:lang w:val="fr-FR"/>
        </w:rPr>
      </w:pPr>
      <w:proofErr w:type="gramStart"/>
      <w:r>
        <w:rPr>
          <w:sz w:val="21"/>
          <w:szCs w:val="21"/>
          <w:lang w:val="fr-CA"/>
        </w:rPr>
        <w:t>les</w:t>
      </w:r>
      <w:proofErr w:type="gramEnd"/>
      <w:r>
        <w:rPr>
          <w:sz w:val="21"/>
          <w:szCs w:val="21"/>
          <w:lang w:val="fr-CA"/>
        </w:rPr>
        <w:t xml:space="preserve"> rapports sur l’évolution des coûts étaient fragmentés, difficiles à interpréter et exposés à un risque d’erreur</w:t>
      </w:r>
    </w:p>
    <w:p w14:paraId="2B30B18C" w14:textId="77777777" w:rsidR="006774F4" w:rsidRPr="006774F4" w:rsidRDefault="006774F4" w:rsidP="006774F4">
      <w:pPr>
        <w:pStyle w:val="ListParagraph"/>
        <w:spacing w:after="100" w:line="276" w:lineRule="auto"/>
        <w:rPr>
          <w:sz w:val="21"/>
          <w:szCs w:val="21"/>
          <w:lang w:val="fr-FR"/>
        </w:rPr>
      </w:pPr>
    </w:p>
    <w:p w14:paraId="061808C0" w14:textId="77777777" w:rsidR="006774F4" w:rsidRPr="006774F4" w:rsidRDefault="006774F4" w:rsidP="006774F4">
      <w:pPr>
        <w:pStyle w:val="Heading2"/>
        <w:rPr>
          <w:lang w:val="fr-FR"/>
        </w:rPr>
      </w:pPr>
      <w:bookmarkStart w:id="219" w:name="__RefHeading___Toc5009_3048004937"/>
      <w:bookmarkEnd w:id="219"/>
      <w:r>
        <w:rPr>
          <w:lang w:val="fr-CA"/>
        </w:rPr>
        <w:t>À comparer avec l’Hôpital territorial Stanton</w:t>
      </w:r>
    </w:p>
    <w:p w14:paraId="63146CC3" w14:textId="77777777" w:rsidR="006774F4" w:rsidRPr="006774F4" w:rsidRDefault="006774F4" w:rsidP="006774F4">
      <w:pPr>
        <w:pBdr>
          <w:top w:val="single" w:sz="6" w:space="0" w:color="F2F4F7"/>
          <w:left w:val="single" w:sz="24" w:space="0" w:color="F2F4F7"/>
          <w:bottom w:val="single" w:sz="6" w:space="0" w:color="F2F4F7"/>
          <w:right w:val="single" w:sz="24" w:space="0" w:color="F2F4F7"/>
        </w:pBdr>
        <w:shd w:val="clear" w:color="auto" w:fill="F2F4F7"/>
        <w:spacing w:after="210"/>
        <w:rPr>
          <w:lang w:val="fr-FR"/>
        </w:rPr>
      </w:pPr>
      <w:r>
        <w:rPr>
          <w:sz w:val="21"/>
          <w:szCs w:val="21"/>
          <w:lang w:val="fr-CA"/>
        </w:rPr>
        <w:t>Il s’agit de l’un des dépassements de coûts hospitaliers les plus souvent cités en Europe, et le constat porte sur la qualité de l’information communiquée : des rapports sur l’évolution des coûts fragmentés, difficiles à interpréter et exposés à un risque d’erreur, pour un projet passé de 790 millions EUR à 1,43 milliard EUR.</w:t>
      </w:r>
    </w:p>
    <w:p w14:paraId="219D6BD4" w14:textId="77777777" w:rsidR="006774F4" w:rsidRPr="006774F4" w:rsidRDefault="006774F4" w:rsidP="006774F4">
      <w:pPr>
        <w:pStyle w:val="Heading1"/>
        <w:rPr>
          <w:b/>
          <w:bCs/>
          <w:color w:val="1B3A6B"/>
          <w:sz w:val="28"/>
          <w:szCs w:val="28"/>
          <w:lang w:val="fr-FR"/>
        </w:rPr>
      </w:pPr>
    </w:p>
    <w:p w14:paraId="2F3E6894" w14:textId="77777777" w:rsidR="006774F4" w:rsidRPr="006774F4" w:rsidRDefault="006774F4" w:rsidP="006774F4">
      <w:pPr>
        <w:pStyle w:val="Heading1"/>
        <w:spacing w:before="380" w:after="170"/>
        <w:rPr>
          <w:b/>
          <w:bCs/>
          <w:color w:val="1B3A6B"/>
          <w:sz w:val="28"/>
          <w:szCs w:val="28"/>
          <w:lang w:val="fr-FR"/>
        </w:rPr>
      </w:pPr>
      <w:bookmarkStart w:id="220" w:name="__RefHeading___Toc5011_3048004937"/>
      <w:bookmarkStart w:id="221" w:name="_Toc239750748"/>
      <w:bookmarkEnd w:id="220"/>
      <w:r>
        <w:rPr>
          <w:b/>
          <w:bCs/>
          <w:color w:val="1B3A6B"/>
          <w:sz w:val="28"/>
          <w:szCs w:val="28"/>
          <w:lang w:val="fr-CA"/>
        </w:rPr>
        <w:t>8.  Ce que ce livre affirme — et ce qu’il n’affirme pas</w:t>
      </w:r>
      <w:bookmarkEnd w:id="221"/>
    </w:p>
    <w:p w14:paraId="083EB0F6" w14:textId="77777777" w:rsidR="006774F4" w:rsidRPr="006774F4" w:rsidRDefault="006774F4" w:rsidP="006774F4">
      <w:pPr>
        <w:rPr>
          <w:lang w:val="fr-FR"/>
        </w:rPr>
      </w:pPr>
      <w:r>
        <w:rPr>
          <w:lang w:val="fr-CA"/>
        </w:rPr>
        <w:t>Un livre consacré aux échecs peut facilement être mal construit. La tentation consiste à laisser entendre que tous les projets se seraient bien déroulés avec une meilleure information, ce qu’aucun professionnel du secteur ne croira. Nous établissons donc ici clairement les limites de l’argument, et cette section devrait être citée chaque fois que le livre est utilisé dans une proposition ou une présentation.</w:t>
      </w:r>
    </w:p>
    <w:p w14:paraId="681793DF" w14:textId="77777777" w:rsidR="006774F4" w:rsidRPr="006774F4" w:rsidRDefault="006774F4" w:rsidP="006774F4">
      <w:pPr>
        <w:pStyle w:val="Heading2"/>
        <w:rPr>
          <w:lang w:val="fr-FR"/>
        </w:rPr>
      </w:pPr>
      <w:bookmarkStart w:id="222" w:name="__RefHeading___Toc5013_3048004937"/>
      <w:bookmarkStart w:id="223" w:name="_Toc239750749"/>
      <w:bookmarkEnd w:id="222"/>
      <w:r>
        <w:rPr>
          <w:lang w:val="fr-CA"/>
        </w:rPr>
        <w:t>Quatre affirmations étayées par ce livre</w:t>
      </w:r>
      <w:bookmarkEnd w:id="223"/>
    </w:p>
    <w:p w14:paraId="6B90CF4A" w14:textId="77777777" w:rsidR="006774F4" w:rsidRPr="006774F4" w:rsidRDefault="006774F4" w:rsidP="006774F4">
      <w:pPr>
        <w:pStyle w:val="ListParagraph"/>
        <w:numPr>
          <w:ilvl w:val="0"/>
          <w:numId w:val="21"/>
        </w:numPr>
        <w:spacing w:after="100" w:line="276" w:lineRule="auto"/>
        <w:contextualSpacing w:val="0"/>
        <w:rPr>
          <w:sz w:val="21"/>
          <w:szCs w:val="21"/>
          <w:lang w:val="fr-FR"/>
        </w:rPr>
      </w:pPr>
      <w:r>
        <w:rPr>
          <w:b/>
          <w:bCs/>
          <w:sz w:val="21"/>
          <w:szCs w:val="21"/>
          <w:lang w:val="fr-CA"/>
        </w:rPr>
        <w:t>Les défaillances liées à l’information et à la prise de décision constituent une cause contributive documentée dans la grande majorité des rapports du secteur public canadien portant sur des projets d’immobilisations et des portefeuilles de biens.</w:t>
      </w:r>
      <w:r>
        <w:rPr>
          <w:sz w:val="21"/>
          <w:szCs w:val="21"/>
          <w:lang w:val="fr-CA"/>
        </w:rPr>
        <w:t xml:space="preserve"> Elles apparaissent dans 81,8 % des 110 rapports, avec un seuil minimal de 57,3 % si toutes les entrées incertaines étaient codées dans le sens contraire.</w:t>
      </w:r>
    </w:p>
    <w:p w14:paraId="2D6D3EB3" w14:textId="77777777" w:rsidR="006774F4" w:rsidRPr="006774F4" w:rsidRDefault="006774F4" w:rsidP="006774F4">
      <w:pPr>
        <w:pStyle w:val="ListParagraph"/>
        <w:numPr>
          <w:ilvl w:val="0"/>
          <w:numId w:val="21"/>
        </w:numPr>
        <w:spacing w:after="100" w:line="276" w:lineRule="auto"/>
        <w:contextualSpacing w:val="0"/>
        <w:rPr>
          <w:sz w:val="21"/>
          <w:szCs w:val="21"/>
          <w:lang w:val="fr-FR"/>
        </w:rPr>
      </w:pPr>
      <w:r>
        <w:rPr>
          <w:b/>
          <w:bCs/>
          <w:sz w:val="21"/>
          <w:szCs w:val="21"/>
          <w:lang w:val="fr-CA"/>
        </w:rPr>
        <w:t>Cette tendance n’est pas propre au Canada.</w:t>
      </w:r>
      <w:r>
        <w:rPr>
          <w:sz w:val="21"/>
          <w:szCs w:val="21"/>
          <w:lang w:val="fr-CA"/>
        </w:rPr>
        <w:t xml:space="preserve"> Elle apparaît dans 85,0 % des 20 rapports internationaux codés de la même façon, comparativement au taux canadien (z = 0,34).</w:t>
      </w:r>
    </w:p>
    <w:p w14:paraId="530B1365" w14:textId="77777777" w:rsidR="006774F4" w:rsidRPr="006774F4" w:rsidRDefault="006774F4" w:rsidP="006774F4">
      <w:pPr>
        <w:pStyle w:val="ListParagraph"/>
        <w:numPr>
          <w:ilvl w:val="0"/>
          <w:numId w:val="21"/>
        </w:numPr>
        <w:spacing w:after="100" w:line="276" w:lineRule="auto"/>
        <w:contextualSpacing w:val="0"/>
        <w:rPr>
          <w:sz w:val="21"/>
          <w:szCs w:val="21"/>
          <w:lang w:val="fr-FR"/>
        </w:rPr>
      </w:pPr>
      <w:r>
        <w:rPr>
          <w:b/>
          <w:bCs/>
          <w:sz w:val="21"/>
          <w:szCs w:val="21"/>
          <w:lang w:val="fr-CA"/>
        </w:rPr>
        <w:t>Les défaillances les plus fréquentes relèvent de la gouvernance, et non de la technologie.</w:t>
      </w:r>
      <w:r>
        <w:rPr>
          <w:sz w:val="21"/>
          <w:szCs w:val="21"/>
          <w:lang w:val="fr-CA"/>
        </w:rPr>
        <w:t xml:space="preserve"> L’information transmise aux décideurs (38,2 %), les pouvoirs décisionnels (36,4 %), la trace des décisions (34,5 %) et le financement du cycle de vie (34,5 %) occupent les quatre premières places. Les informations sur les biens et leur état, la cause la plus manifestement technique, arrivent au cinquième rang avec 29,1 %.</w:t>
      </w:r>
    </w:p>
    <w:p w14:paraId="6AF3F6A3" w14:textId="77777777" w:rsidR="006774F4" w:rsidRPr="006774F4" w:rsidRDefault="006774F4" w:rsidP="006774F4">
      <w:pPr>
        <w:pStyle w:val="ListParagraph"/>
        <w:numPr>
          <w:ilvl w:val="0"/>
          <w:numId w:val="21"/>
        </w:numPr>
        <w:spacing w:after="100" w:line="276" w:lineRule="auto"/>
        <w:contextualSpacing w:val="0"/>
        <w:rPr>
          <w:sz w:val="21"/>
          <w:szCs w:val="21"/>
          <w:lang w:val="fr-FR"/>
        </w:rPr>
      </w:pPr>
      <w:r>
        <w:rPr>
          <w:b/>
          <w:bCs/>
          <w:sz w:val="21"/>
          <w:szCs w:val="21"/>
          <w:lang w:val="fr-CA"/>
        </w:rPr>
        <w:t>Ces défaillances peuvent être traitées avant l’engagement.</w:t>
      </w:r>
      <w:r>
        <w:rPr>
          <w:sz w:val="21"/>
          <w:szCs w:val="21"/>
          <w:lang w:val="fr-CA"/>
        </w:rPr>
        <w:t xml:space="preserve"> Chaque cas de la section 6 indique les services du Clarity Compass qui répondent aux constats formulés dans le rapport; dans chaque cas, ces services interviennent au stade de la décision, et non au stade de la construction.</w:t>
      </w:r>
    </w:p>
    <w:p w14:paraId="2C49A91A" w14:textId="77777777" w:rsidR="006774F4" w:rsidRPr="006774F4" w:rsidRDefault="006774F4" w:rsidP="006774F4">
      <w:pPr>
        <w:pStyle w:val="Heading2"/>
        <w:rPr>
          <w:lang w:val="fr-FR"/>
        </w:rPr>
      </w:pPr>
      <w:bookmarkStart w:id="224" w:name="__RefHeading___Toc5015_3048004937"/>
      <w:bookmarkStart w:id="225" w:name="_Toc239750750"/>
      <w:bookmarkEnd w:id="224"/>
      <w:r>
        <w:rPr>
          <w:lang w:val="fr-CA"/>
        </w:rPr>
        <w:t>Quatre affirmations que ce livre n’étaye pas</w:t>
      </w:r>
      <w:bookmarkEnd w:id="225"/>
    </w:p>
    <w:p w14:paraId="20E914DA" w14:textId="77777777" w:rsidR="006774F4" w:rsidRPr="006774F4" w:rsidRDefault="006774F4" w:rsidP="006774F4">
      <w:pPr>
        <w:pStyle w:val="ListParagraph"/>
        <w:numPr>
          <w:ilvl w:val="0"/>
          <w:numId w:val="36"/>
        </w:numPr>
        <w:spacing w:after="100" w:line="276" w:lineRule="auto"/>
        <w:contextualSpacing w:val="0"/>
        <w:rPr>
          <w:sz w:val="21"/>
          <w:szCs w:val="21"/>
          <w:lang w:val="fr-FR"/>
        </w:rPr>
      </w:pPr>
      <w:r>
        <w:rPr>
          <w:b/>
          <w:bCs/>
          <w:sz w:val="21"/>
          <w:szCs w:val="21"/>
          <w:lang w:val="fr-CA"/>
        </w:rPr>
        <w:t>Que la plupart des projets d’immobilisations canadiens échouent.</w:t>
      </w:r>
      <w:r>
        <w:rPr>
          <w:sz w:val="21"/>
          <w:szCs w:val="21"/>
          <w:lang w:val="fr-CA"/>
        </w:rPr>
        <w:t xml:space="preserve"> Les organismes de surveillance choisissent les dossiers qu’ils examinent. Il s’agit ici d’un recensement de rapports, et non d’un recensement de projets; le registre contient une estimation distincte et plus prudente du taux de référence.</w:t>
      </w:r>
    </w:p>
    <w:p w14:paraId="28D1B0D6" w14:textId="77777777" w:rsidR="006774F4" w:rsidRPr="006774F4" w:rsidRDefault="006774F4" w:rsidP="006774F4">
      <w:pPr>
        <w:pStyle w:val="ListParagraph"/>
        <w:numPr>
          <w:ilvl w:val="0"/>
          <w:numId w:val="36"/>
        </w:numPr>
        <w:spacing w:after="100" w:line="276" w:lineRule="auto"/>
        <w:contextualSpacing w:val="0"/>
        <w:rPr>
          <w:sz w:val="21"/>
          <w:szCs w:val="21"/>
          <w:lang w:val="fr-FR"/>
        </w:rPr>
      </w:pPr>
      <w:r>
        <w:rPr>
          <w:b/>
          <w:bCs/>
          <w:sz w:val="21"/>
          <w:szCs w:val="21"/>
          <w:lang w:val="fr-CA"/>
        </w:rPr>
        <w:t>Que les chiffres de coûts peuvent être additionnés.</w:t>
      </w:r>
      <w:r>
        <w:rPr>
          <w:sz w:val="21"/>
          <w:szCs w:val="21"/>
          <w:lang w:val="fr-CA"/>
        </w:rPr>
        <w:t xml:space="preserve"> Chaque rapport présente ses propres données par rapport à son propre point de référence. Le registre interdit de les totaliser, et ce livre aussi.</w:t>
      </w:r>
    </w:p>
    <w:p w14:paraId="0F79B9B8" w14:textId="77777777" w:rsidR="006774F4" w:rsidRDefault="006774F4" w:rsidP="006774F4">
      <w:pPr>
        <w:pStyle w:val="ListParagraph"/>
        <w:numPr>
          <w:ilvl w:val="0"/>
          <w:numId w:val="36"/>
        </w:numPr>
        <w:spacing w:after="100" w:line="276" w:lineRule="auto"/>
        <w:contextualSpacing w:val="0"/>
        <w:rPr>
          <w:sz w:val="21"/>
          <w:szCs w:val="21"/>
        </w:rPr>
      </w:pPr>
      <w:r>
        <w:rPr>
          <w:b/>
          <w:bCs/>
          <w:sz w:val="21"/>
          <w:szCs w:val="21"/>
          <w:lang w:val="fr-CA"/>
        </w:rPr>
        <w:t xml:space="preserve">Qu’une intervention de Clarity </w:t>
      </w:r>
      <w:proofErr w:type="spellStart"/>
      <w:r>
        <w:rPr>
          <w:b/>
          <w:bCs/>
          <w:sz w:val="21"/>
          <w:szCs w:val="21"/>
          <w:lang w:val="fr-CA"/>
        </w:rPr>
        <w:t>Builders</w:t>
      </w:r>
      <w:proofErr w:type="spellEnd"/>
      <w:r>
        <w:rPr>
          <w:b/>
          <w:bCs/>
          <w:sz w:val="21"/>
          <w:szCs w:val="21"/>
          <w:lang w:val="fr-CA"/>
        </w:rPr>
        <w:t xml:space="preserve"> aurait permis à l’un ou l’autre de ces projets de respecter son échéancier et son budget.</w:t>
      </w:r>
      <w:r>
        <w:rPr>
          <w:sz w:val="21"/>
          <w:szCs w:val="21"/>
          <w:lang w:val="fr-CA"/>
        </w:rPr>
        <w:t xml:space="preserve"> Plusieurs ont été touchés par des facteurs sur lesquels une discipline de gestion de l’information n’a aucune prise. Ces facteurs sont indiqués dans chaque cas.</w:t>
      </w:r>
    </w:p>
    <w:p w14:paraId="4BD66F41" w14:textId="77777777" w:rsidR="006774F4" w:rsidRPr="006774F4" w:rsidRDefault="006774F4" w:rsidP="006774F4">
      <w:pPr>
        <w:pStyle w:val="ListParagraph"/>
        <w:numPr>
          <w:ilvl w:val="0"/>
          <w:numId w:val="36"/>
        </w:numPr>
        <w:spacing w:after="100" w:line="276" w:lineRule="auto"/>
        <w:contextualSpacing w:val="0"/>
        <w:rPr>
          <w:sz w:val="21"/>
          <w:szCs w:val="21"/>
          <w:lang w:val="fr-FR"/>
        </w:rPr>
      </w:pPr>
      <w:r>
        <w:rPr>
          <w:b/>
          <w:bCs/>
          <w:sz w:val="21"/>
          <w:szCs w:val="21"/>
          <w:lang w:val="fr-CA"/>
        </w:rPr>
        <w:lastRenderedPageBreak/>
        <w:t xml:space="preserve">Que la dimension People </w:t>
      </w:r>
      <w:proofErr w:type="gramStart"/>
      <w:r>
        <w:rPr>
          <w:b/>
          <w:bCs/>
          <w:sz w:val="21"/>
          <w:szCs w:val="21"/>
          <w:lang w:val="fr-CA"/>
        </w:rPr>
        <w:t>est</w:t>
      </w:r>
      <w:proofErr w:type="gramEnd"/>
      <w:r>
        <w:rPr>
          <w:b/>
          <w:bCs/>
          <w:sz w:val="21"/>
          <w:szCs w:val="21"/>
          <w:lang w:val="fr-CA"/>
        </w:rPr>
        <w:t xml:space="preserve"> mineure parce qu’elle n’apparaît que dans deux cas.</w:t>
      </w:r>
      <w:r>
        <w:rPr>
          <w:sz w:val="21"/>
          <w:szCs w:val="21"/>
          <w:lang w:val="fr-CA"/>
        </w:rPr>
        <w:t xml:space="preserve"> Les enjeux de capacité apparaissent dans 7,3 % des entrées canadiennes du registre parce que les auditeurs examinent les dossiers et les systèmes, mais évaluent rarement si l’équipe chargée de réaliser un projet disposait des compétences et des capacités nécessaires. Il s’agit d’une limite de la portée habituelle des rapports de surveillance, et non d’une indication de l’importance réelle de la capacité.</w:t>
      </w:r>
    </w:p>
    <w:p w14:paraId="7C76FF47" w14:textId="77777777" w:rsidR="006774F4" w:rsidRPr="006774F4" w:rsidRDefault="006774F4" w:rsidP="006774F4">
      <w:pPr>
        <w:pStyle w:val="Heading1"/>
        <w:spacing w:before="380" w:after="170"/>
        <w:rPr>
          <w:b/>
          <w:bCs/>
          <w:color w:val="1B3A6B"/>
          <w:sz w:val="28"/>
          <w:szCs w:val="28"/>
          <w:lang w:val="fr-FR"/>
        </w:rPr>
      </w:pPr>
      <w:bookmarkStart w:id="226" w:name="__RefHeading___Toc5017_3048004937"/>
      <w:bookmarkStart w:id="227" w:name="_Toc239750751"/>
      <w:bookmarkEnd w:id="226"/>
      <w:r>
        <w:rPr>
          <w:b/>
          <w:bCs/>
          <w:color w:val="1B3A6B"/>
          <w:sz w:val="28"/>
          <w:szCs w:val="28"/>
          <w:lang w:val="fr-CA"/>
        </w:rPr>
        <w:t>9.  Ce qu’un propriétaire devrait en retenir</w:t>
      </w:r>
      <w:bookmarkEnd w:id="227"/>
    </w:p>
    <w:p w14:paraId="7C2C51DB" w14:textId="77777777" w:rsidR="006774F4" w:rsidRPr="006774F4" w:rsidRDefault="006774F4" w:rsidP="006774F4">
      <w:pPr>
        <w:rPr>
          <w:lang w:val="fr-FR"/>
        </w:rPr>
      </w:pPr>
      <w:r>
        <w:rPr>
          <w:lang w:val="fr-CA"/>
        </w:rPr>
        <w:t>La tendance observée dans ce livre est suffisamment constante pour être utile et suffisamment répandue pour être préoccupante. Un propriétaire qui le lit reconnaîtra probablement deux ou trois de ces causes dans sa propre organisation. La question logique qui suit est de savoir jusqu’où son organisation s’est déjà engagée sur cette voie.</w:t>
      </w:r>
    </w:p>
    <w:p w14:paraId="4B4D438E" w14:textId="77777777" w:rsidR="006774F4" w:rsidRPr="006774F4" w:rsidRDefault="006774F4" w:rsidP="006774F4">
      <w:pPr>
        <w:rPr>
          <w:lang w:val="fr-FR"/>
        </w:rPr>
      </w:pPr>
      <w:r>
        <w:rPr>
          <w:lang w:val="fr-CA"/>
        </w:rPr>
        <w:t xml:space="preserve">Cette question peut recevoir une réponse fondée sur des faits; elle n’exige aucun acte de foi. Le </w:t>
      </w:r>
      <w:proofErr w:type="spellStart"/>
      <w:r>
        <w:rPr>
          <w:lang w:val="fr-CA"/>
        </w:rPr>
        <w:t>Grounded</w:t>
      </w:r>
      <w:proofErr w:type="spellEnd"/>
      <w:r>
        <w:rPr>
          <w:lang w:val="fr-CA"/>
        </w:rPr>
        <w:t xml:space="preserve"> Diagnostic évalue une organisation selon cinq dimensions et 44 segments, en utilisant le même ensemble de causes que le registre. Il produit un état actuel documenté, un état cible ainsi que les éléments probants qui appuient les deux.</w:t>
      </w:r>
    </w:p>
    <w:p w14:paraId="6E25884F" w14:textId="77777777" w:rsidR="006774F4" w:rsidRPr="006774F4" w:rsidRDefault="006774F4" w:rsidP="006774F4">
      <w:pPr>
        <w:pStyle w:val="Heading2"/>
        <w:spacing w:after="50"/>
        <w:rPr>
          <w:lang w:val="fr-FR"/>
        </w:rPr>
      </w:pPr>
      <w:bookmarkStart w:id="228" w:name="__RefHeading___Toc5019_3048004937"/>
      <w:bookmarkEnd w:id="228"/>
      <w:r>
        <w:rPr>
          <w:lang w:val="fr-CA"/>
        </w:rPr>
        <w:t xml:space="preserve">Les trois messages que Clarity </w:t>
      </w:r>
      <w:proofErr w:type="spellStart"/>
      <w:r>
        <w:rPr>
          <w:lang w:val="fr-CA"/>
        </w:rPr>
        <w:t>Builders</w:t>
      </w:r>
      <w:proofErr w:type="spellEnd"/>
      <w:r>
        <w:rPr>
          <w:lang w:val="fr-CA"/>
        </w:rPr>
        <w:t xml:space="preserve"> adresserait à un propriétaire qui lit ce livre</w:t>
      </w:r>
    </w:p>
    <w:p w14:paraId="30EB23DB" w14:textId="77777777" w:rsidR="006774F4" w:rsidRPr="006774F4" w:rsidRDefault="006774F4" w:rsidP="006774F4">
      <w:pPr>
        <w:pBdr>
          <w:top w:val="single" w:sz="6" w:space="0" w:color="E2E8F0"/>
          <w:left w:val="single" w:sz="24" w:space="0" w:color="E2E8F0"/>
          <w:bottom w:val="single" w:sz="6" w:space="0" w:color="E2E8F0"/>
          <w:right w:val="single" w:sz="24" w:space="0" w:color="E2E8F0"/>
        </w:pBdr>
        <w:shd w:val="clear" w:color="auto" w:fill="E2E8F0"/>
        <w:spacing w:after="90"/>
        <w:rPr>
          <w:lang w:val="fr-FR"/>
        </w:rPr>
      </w:pPr>
      <w:r>
        <w:rPr>
          <w:sz w:val="21"/>
          <w:szCs w:val="21"/>
          <w:lang w:val="fr-CA"/>
        </w:rPr>
        <w:t>1.  Considérez ce travail comme une assurance sur la qualité de la décision, et non comme un projet technologique. Dans quatre rapports sur cinq du registre, la défaillance liée à l’information était déjà présente avant que le problème ne se manifeste. L’argent n’est pas investi dans un logiciel. Il est investi pour savoir à quoi vous vous engagez avant de prendre l’engagement.</w:t>
      </w:r>
    </w:p>
    <w:p w14:paraId="47CB446D" w14:textId="77777777" w:rsidR="006774F4" w:rsidRPr="006774F4" w:rsidRDefault="006774F4" w:rsidP="006774F4">
      <w:pPr>
        <w:pBdr>
          <w:top w:val="single" w:sz="6" w:space="0" w:color="E2E8F0"/>
          <w:left w:val="single" w:sz="24" w:space="0" w:color="E2E8F0"/>
          <w:bottom w:val="single" w:sz="6" w:space="0" w:color="E2E8F0"/>
          <w:right w:val="single" w:sz="24" w:space="0" w:color="E2E8F0"/>
        </w:pBdr>
        <w:shd w:val="clear" w:color="auto" w:fill="E2E8F0"/>
        <w:spacing w:after="90"/>
        <w:rPr>
          <w:lang w:val="fr-FR"/>
        </w:rPr>
      </w:pPr>
      <w:r>
        <w:rPr>
          <w:sz w:val="21"/>
          <w:szCs w:val="21"/>
          <w:lang w:val="fr-CA"/>
        </w:rPr>
        <w:t>2.  Nous ne vous demandons pas de nous croire sur parole. Le registre compte 130 rapports, tous publics; chaque constat est cité et chaque code n’est appliqué que lorsque le rapport lui-même établit le problème. Un client peut examiner le registre lui-même.</w:t>
      </w:r>
    </w:p>
    <w:p w14:paraId="5C0CE875" w14:textId="77777777" w:rsidR="006774F4" w:rsidRPr="006774F4" w:rsidRDefault="006774F4" w:rsidP="006774F4">
      <w:pPr>
        <w:pBdr>
          <w:top w:val="single" w:sz="6" w:space="0" w:color="E2E8F0"/>
          <w:left w:val="single" w:sz="24" w:space="0" w:color="E2E8F0"/>
          <w:bottom w:val="single" w:sz="6" w:space="0" w:color="E2E8F0"/>
          <w:right w:val="single" w:sz="24" w:space="0" w:color="E2E8F0"/>
        </w:pBdr>
        <w:shd w:val="clear" w:color="auto" w:fill="E2E8F0"/>
        <w:spacing w:after="210"/>
        <w:rPr>
          <w:lang w:val="fr-FR"/>
        </w:rPr>
      </w:pPr>
      <w:r>
        <w:rPr>
          <w:sz w:val="21"/>
          <w:szCs w:val="21"/>
          <w:lang w:val="fr-CA"/>
        </w:rPr>
        <w:t xml:space="preserve">3.  Nous aimerions vous dire combien vous pourriez économiser, mais il y a de fortes chances que vos propres chiffres de coûts soient déjà inexacts. Ce n’est pas une formule rhétorique : c’est le constat qui revient le plus souvent dans ce livre. Le </w:t>
      </w:r>
      <w:proofErr w:type="spellStart"/>
      <w:r>
        <w:rPr>
          <w:sz w:val="21"/>
          <w:szCs w:val="21"/>
          <w:lang w:val="fr-CA"/>
        </w:rPr>
        <w:t>Grounded</w:t>
      </w:r>
      <w:proofErr w:type="spellEnd"/>
      <w:r>
        <w:rPr>
          <w:sz w:val="21"/>
          <w:szCs w:val="21"/>
          <w:lang w:val="fr-CA"/>
        </w:rPr>
        <w:t xml:space="preserve"> Diagnostic permet de réunir les éléments probants dont votre organisation a besoin pour établir un plan et suivre les bénéfices obtenus par rapport à celui-ci.</w:t>
      </w:r>
    </w:p>
    <w:p w14:paraId="763EA8B1" w14:textId="77777777" w:rsidR="006774F4" w:rsidRPr="006774F4" w:rsidRDefault="006774F4" w:rsidP="006774F4">
      <w:pPr>
        <w:pStyle w:val="Heading1"/>
        <w:rPr>
          <w:b/>
          <w:bCs/>
          <w:color w:val="1B3A6B"/>
          <w:sz w:val="28"/>
          <w:szCs w:val="28"/>
          <w:lang w:val="fr-FR"/>
        </w:rPr>
      </w:pPr>
    </w:p>
    <w:p w14:paraId="5CDA867C" w14:textId="77777777" w:rsidR="006774F4" w:rsidRPr="006774F4" w:rsidRDefault="006774F4" w:rsidP="006774F4">
      <w:pPr>
        <w:spacing w:after="0" w:line="240" w:lineRule="auto"/>
        <w:rPr>
          <w:b/>
          <w:bCs/>
          <w:color w:val="1B3A6B"/>
          <w:sz w:val="28"/>
          <w:szCs w:val="28"/>
          <w:lang w:val="fr-FR"/>
        </w:rPr>
      </w:pPr>
      <w:r w:rsidRPr="006774F4">
        <w:rPr>
          <w:lang w:val="fr-FR"/>
        </w:rPr>
        <w:br w:type="page"/>
      </w:r>
    </w:p>
    <w:p w14:paraId="46662A5F" w14:textId="77777777" w:rsidR="006774F4" w:rsidRPr="006774F4" w:rsidRDefault="006774F4" w:rsidP="006774F4">
      <w:pPr>
        <w:pStyle w:val="Heading1"/>
        <w:spacing w:after="170"/>
        <w:rPr>
          <w:b/>
          <w:bCs/>
          <w:color w:val="1B3A6B"/>
          <w:sz w:val="28"/>
          <w:szCs w:val="28"/>
          <w:lang w:val="fr-FR"/>
        </w:rPr>
      </w:pPr>
      <w:bookmarkStart w:id="229" w:name="__RefHeading___Toc5021_3048004937"/>
      <w:bookmarkStart w:id="230" w:name="_Toc239750752"/>
      <w:bookmarkEnd w:id="229"/>
      <w:r>
        <w:rPr>
          <w:b/>
          <w:bCs/>
          <w:color w:val="1B3A6B"/>
          <w:sz w:val="28"/>
          <w:szCs w:val="28"/>
          <w:lang w:val="fr-CA"/>
        </w:rPr>
        <w:lastRenderedPageBreak/>
        <w:t>Annexe A.  Codes de cause</w:t>
      </w:r>
      <w:bookmarkEnd w:id="230"/>
    </w:p>
    <w:p w14:paraId="58746ADB" w14:textId="77777777" w:rsidR="006774F4" w:rsidRPr="006774F4" w:rsidRDefault="006774F4" w:rsidP="006774F4">
      <w:pPr>
        <w:rPr>
          <w:lang w:val="fr-FR"/>
        </w:rPr>
      </w:pPr>
      <w:r>
        <w:rPr>
          <w:lang w:val="fr-CA"/>
        </w:rPr>
        <w:t>Les 15 codes ci-dessous constituent l’ensemble complet des codes appliqués aux 130 entrées du registre. Un rapport peut se voir attribuer n’importe quel nombre de codes. Un code n’est appliqué que lorsque le rapport lui-même établit le constat correspondant.</w:t>
      </w:r>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901"/>
        <w:gridCol w:w="5099"/>
        <w:gridCol w:w="1682"/>
        <w:gridCol w:w="2558"/>
      </w:tblGrid>
      <w:tr w:rsidR="006774F4" w14:paraId="73CA6637" w14:textId="77777777" w:rsidTr="00AA5586">
        <w:trPr>
          <w:cantSplit/>
          <w:tblHeader/>
        </w:trPr>
        <w:tc>
          <w:tcPr>
            <w:tcW w:w="900" w:type="dxa"/>
            <w:shd w:val="clear" w:color="auto" w:fill="1B3A6B"/>
          </w:tcPr>
          <w:p w14:paraId="0534466D" w14:textId="77777777" w:rsidR="006774F4" w:rsidRDefault="006774F4" w:rsidP="00AA5586">
            <w:pPr>
              <w:spacing w:after="0" w:line="254" w:lineRule="auto"/>
              <w:jc w:val="center"/>
            </w:pPr>
            <w:r>
              <w:rPr>
                <w:b/>
                <w:bCs/>
                <w:caps/>
                <w:color w:val="FFFFFF"/>
                <w:spacing w:val="16"/>
                <w:sz w:val="18"/>
                <w:szCs w:val="18"/>
                <w:lang w:val="fr-CA"/>
              </w:rPr>
              <w:t>Code</w:t>
            </w:r>
          </w:p>
        </w:tc>
        <w:tc>
          <w:tcPr>
            <w:tcW w:w="5099" w:type="dxa"/>
            <w:shd w:val="clear" w:color="auto" w:fill="1B3A6B"/>
          </w:tcPr>
          <w:p w14:paraId="417E8888" w14:textId="77777777" w:rsidR="006774F4" w:rsidRDefault="006774F4" w:rsidP="00AA5586">
            <w:pPr>
              <w:spacing w:after="0" w:line="254" w:lineRule="auto"/>
              <w:jc w:val="center"/>
            </w:pPr>
            <w:r>
              <w:rPr>
                <w:b/>
                <w:bCs/>
                <w:caps/>
                <w:color w:val="FFFFFF"/>
                <w:spacing w:val="16"/>
                <w:sz w:val="18"/>
                <w:szCs w:val="18"/>
                <w:lang w:val="fr-CA"/>
              </w:rPr>
              <w:t>Cause</w:t>
            </w:r>
          </w:p>
        </w:tc>
        <w:tc>
          <w:tcPr>
            <w:tcW w:w="1682" w:type="dxa"/>
            <w:shd w:val="clear" w:color="auto" w:fill="1B3A6B"/>
          </w:tcPr>
          <w:p w14:paraId="2E48A771" w14:textId="77777777" w:rsidR="006774F4" w:rsidRDefault="006774F4" w:rsidP="00AA5586">
            <w:pPr>
              <w:spacing w:after="0" w:line="254" w:lineRule="auto"/>
              <w:jc w:val="center"/>
            </w:pPr>
            <w:r>
              <w:rPr>
                <w:b/>
                <w:bCs/>
                <w:caps/>
                <w:color w:val="FFFFFF"/>
                <w:spacing w:val="16"/>
                <w:sz w:val="18"/>
                <w:szCs w:val="18"/>
                <w:lang w:val="fr-CA"/>
              </w:rPr>
              <w:t>Part des 110 rapports</w:t>
            </w:r>
          </w:p>
        </w:tc>
        <w:tc>
          <w:tcPr>
            <w:tcW w:w="2558" w:type="dxa"/>
            <w:shd w:val="clear" w:color="auto" w:fill="1B3A6B"/>
          </w:tcPr>
          <w:p w14:paraId="344C7251" w14:textId="77777777" w:rsidR="006774F4" w:rsidRDefault="006774F4" w:rsidP="00AA5586">
            <w:pPr>
              <w:spacing w:after="0" w:line="254" w:lineRule="auto"/>
              <w:jc w:val="center"/>
            </w:pPr>
            <w:r>
              <w:rPr>
                <w:b/>
                <w:bCs/>
                <w:caps/>
                <w:color w:val="FFFFFF"/>
                <w:spacing w:val="16"/>
                <w:sz w:val="18"/>
                <w:szCs w:val="18"/>
                <w:lang w:val="fr-CA"/>
              </w:rPr>
              <w:t>Dimension CB</w:t>
            </w:r>
          </w:p>
        </w:tc>
      </w:tr>
      <w:tr w:rsidR="006774F4" w14:paraId="3233D645" w14:textId="77777777" w:rsidTr="00AA5586">
        <w:trPr>
          <w:cantSplit/>
        </w:trPr>
        <w:tc>
          <w:tcPr>
            <w:tcW w:w="900" w:type="dxa"/>
            <w:tcBorders>
              <w:left w:val="single" w:sz="4" w:space="0" w:color="000000"/>
              <w:bottom w:val="single" w:sz="4" w:space="0" w:color="000000"/>
              <w:right w:val="single" w:sz="4" w:space="0" w:color="000000"/>
            </w:tcBorders>
            <w:shd w:val="clear" w:color="auto" w:fill="FFFFFF" w:themeFill="background1"/>
            <w:vAlign w:val="center"/>
          </w:tcPr>
          <w:p w14:paraId="36C02F30" w14:textId="77777777" w:rsidR="006774F4" w:rsidRDefault="006774F4" w:rsidP="00AA5586">
            <w:pPr>
              <w:spacing w:after="0" w:line="254" w:lineRule="auto"/>
              <w:jc w:val="center"/>
            </w:pPr>
            <w:r>
              <w:rPr>
                <w:b/>
                <w:bCs/>
                <w:sz w:val="18"/>
                <w:szCs w:val="18"/>
              </w:rPr>
              <w:t>C01</w:t>
            </w:r>
          </w:p>
        </w:tc>
        <w:tc>
          <w:tcPr>
            <w:tcW w:w="5099" w:type="dxa"/>
            <w:tcBorders>
              <w:left w:val="single" w:sz="4" w:space="0" w:color="000000"/>
              <w:bottom w:val="single" w:sz="4" w:space="0" w:color="000000"/>
              <w:right w:val="single" w:sz="4" w:space="0" w:color="000000"/>
            </w:tcBorders>
            <w:shd w:val="clear" w:color="auto" w:fill="FFFFFF" w:themeFill="background1"/>
            <w:vAlign w:val="center"/>
          </w:tcPr>
          <w:p w14:paraId="05DF0ACD" w14:textId="77777777" w:rsidR="006774F4" w:rsidRPr="006774F4" w:rsidRDefault="006774F4" w:rsidP="00AA5586">
            <w:pPr>
              <w:spacing w:after="0" w:line="254" w:lineRule="auto"/>
              <w:rPr>
                <w:lang w:val="fr-FR"/>
              </w:rPr>
            </w:pPr>
            <w:r>
              <w:rPr>
                <w:sz w:val="18"/>
                <w:szCs w:val="18"/>
                <w:lang w:val="fr-CA"/>
              </w:rPr>
              <w:t>Portée, exigences ou conception non stabilisées avant l’engagement</w:t>
            </w:r>
          </w:p>
        </w:tc>
        <w:tc>
          <w:tcPr>
            <w:tcW w:w="1682" w:type="dxa"/>
            <w:tcBorders>
              <w:left w:val="single" w:sz="4" w:space="0" w:color="000000"/>
              <w:bottom w:val="single" w:sz="4" w:space="0" w:color="000000"/>
              <w:right w:val="single" w:sz="4" w:space="0" w:color="000000"/>
            </w:tcBorders>
            <w:shd w:val="clear" w:color="auto" w:fill="FFFFFF" w:themeFill="background1"/>
            <w:vAlign w:val="center"/>
          </w:tcPr>
          <w:p w14:paraId="58ADFD17" w14:textId="77777777" w:rsidR="006774F4" w:rsidRDefault="006774F4" w:rsidP="00AA5586">
            <w:pPr>
              <w:spacing w:after="0" w:line="254" w:lineRule="auto"/>
              <w:jc w:val="center"/>
            </w:pPr>
            <w:r>
              <w:rPr>
                <w:b/>
                <w:bCs/>
                <w:color w:val="B85C30"/>
                <w:sz w:val="18"/>
                <w:szCs w:val="18"/>
                <w:lang w:val="fr-CA"/>
              </w:rPr>
              <w:t>29,1 %</w:t>
            </w:r>
          </w:p>
        </w:tc>
        <w:tc>
          <w:tcPr>
            <w:tcW w:w="2558" w:type="dxa"/>
            <w:tcBorders>
              <w:left w:val="single" w:sz="4" w:space="0" w:color="000000"/>
              <w:bottom w:val="single" w:sz="4" w:space="0" w:color="000000"/>
              <w:right w:val="single" w:sz="4" w:space="0" w:color="000000"/>
            </w:tcBorders>
            <w:shd w:val="clear" w:color="auto" w:fill="FFFFFF" w:themeFill="background1"/>
            <w:vAlign w:val="center"/>
          </w:tcPr>
          <w:p w14:paraId="25D3320D" w14:textId="77777777" w:rsidR="006774F4" w:rsidRDefault="006774F4" w:rsidP="00AA5586">
            <w:pPr>
              <w:spacing w:after="0" w:line="254" w:lineRule="auto"/>
              <w:jc w:val="center"/>
            </w:pPr>
            <w:r>
              <w:rPr>
                <w:sz w:val="18"/>
                <w:szCs w:val="18"/>
              </w:rPr>
              <w:t>Process</w:t>
            </w:r>
          </w:p>
        </w:tc>
      </w:tr>
      <w:tr w:rsidR="006774F4" w14:paraId="423E53A4"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9AFDBBA" w14:textId="77777777" w:rsidR="006774F4" w:rsidRDefault="006774F4" w:rsidP="00AA5586">
            <w:pPr>
              <w:spacing w:after="0" w:line="254" w:lineRule="auto"/>
              <w:jc w:val="center"/>
            </w:pPr>
            <w:r>
              <w:rPr>
                <w:b/>
                <w:bCs/>
                <w:sz w:val="18"/>
                <w:szCs w:val="18"/>
              </w:rPr>
              <w:t>C02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A8D2D10" w14:textId="77777777" w:rsidR="006774F4" w:rsidRPr="006774F4" w:rsidRDefault="006774F4" w:rsidP="00AA5586">
            <w:pPr>
              <w:spacing w:after="0" w:line="254" w:lineRule="auto"/>
              <w:rPr>
                <w:lang w:val="fr-FR"/>
              </w:rPr>
            </w:pPr>
            <w:r>
              <w:rPr>
                <w:sz w:val="18"/>
                <w:szCs w:val="18"/>
                <w:lang w:val="fr-CA"/>
              </w:rPr>
              <w:t>Estimation des coûts trop optimiste ou éventualités et risques insuffisamment chiffrés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5068505" w14:textId="77777777" w:rsidR="006774F4" w:rsidRDefault="006774F4" w:rsidP="00AA5586">
            <w:pPr>
              <w:spacing w:after="0" w:line="254" w:lineRule="auto"/>
              <w:jc w:val="center"/>
            </w:pPr>
            <w:r>
              <w:rPr>
                <w:b/>
                <w:bCs/>
                <w:color w:val="B85C30"/>
                <w:sz w:val="18"/>
                <w:szCs w:val="18"/>
                <w:lang w:val="fr-CA"/>
              </w:rPr>
              <w:t>20,0 %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629F238" w14:textId="77777777" w:rsidR="006774F4" w:rsidRDefault="006774F4" w:rsidP="00AA5586">
            <w:pPr>
              <w:spacing w:after="0" w:line="254" w:lineRule="auto"/>
              <w:jc w:val="center"/>
            </w:pPr>
            <w:r>
              <w:rPr>
                <w:sz w:val="18"/>
                <w:szCs w:val="18"/>
              </w:rPr>
              <w:t>Process</w:t>
            </w:r>
          </w:p>
        </w:tc>
      </w:tr>
      <w:tr w:rsidR="006774F4" w14:paraId="003BCD47"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1B99CF" w14:textId="77777777" w:rsidR="006774F4" w:rsidRDefault="006774F4" w:rsidP="00AA5586">
            <w:pPr>
              <w:spacing w:after="0" w:line="254" w:lineRule="auto"/>
              <w:jc w:val="center"/>
            </w:pPr>
            <w:r>
              <w:rPr>
                <w:b/>
                <w:bCs/>
                <w:sz w:val="18"/>
                <w:szCs w:val="18"/>
              </w:rPr>
              <w:t>C03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E8953A" w14:textId="77777777" w:rsidR="006774F4" w:rsidRPr="006774F4" w:rsidRDefault="006774F4" w:rsidP="00AA5586">
            <w:pPr>
              <w:spacing w:after="0" w:line="254" w:lineRule="auto"/>
              <w:rPr>
                <w:lang w:val="fr-FR"/>
              </w:rPr>
            </w:pPr>
            <w:r>
              <w:rPr>
                <w:sz w:val="18"/>
                <w:szCs w:val="18"/>
                <w:lang w:val="fr-CA"/>
              </w:rPr>
              <w:t>Échéancier trop optimiste ou référence de base irréaliste</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B1DC29" w14:textId="77777777" w:rsidR="006774F4" w:rsidRDefault="006774F4" w:rsidP="00AA5586">
            <w:pPr>
              <w:spacing w:after="0" w:line="254" w:lineRule="auto"/>
              <w:jc w:val="center"/>
            </w:pPr>
            <w:r>
              <w:rPr>
                <w:b/>
                <w:bCs/>
                <w:color w:val="B85C30"/>
                <w:sz w:val="18"/>
                <w:szCs w:val="18"/>
                <w:lang w:val="fr-CA"/>
              </w:rPr>
              <w:t>9,1 %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58081B" w14:textId="77777777" w:rsidR="006774F4" w:rsidRDefault="006774F4" w:rsidP="00AA5586">
            <w:pPr>
              <w:spacing w:after="0" w:line="254" w:lineRule="auto"/>
              <w:jc w:val="center"/>
            </w:pPr>
            <w:r>
              <w:rPr>
                <w:sz w:val="18"/>
                <w:szCs w:val="18"/>
              </w:rPr>
              <w:t>Process</w:t>
            </w:r>
          </w:p>
        </w:tc>
      </w:tr>
      <w:tr w:rsidR="006774F4" w14:paraId="1BD279A8"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13ECBA0" w14:textId="77777777" w:rsidR="006774F4" w:rsidRDefault="006774F4" w:rsidP="00AA5586">
            <w:pPr>
              <w:spacing w:after="0" w:line="254" w:lineRule="auto"/>
              <w:jc w:val="center"/>
            </w:pPr>
            <w:r>
              <w:rPr>
                <w:b/>
                <w:bCs/>
                <w:sz w:val="18"/>
                <w:szCs w:val="18"/>
              </w:rPr>
              <w:t>C04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11680C2" w14:textId="77777777" w:rsidR="006774F4" w:rsidRPr="006774F4" w:rsidRDefault="006774F4" w:rsidP="00AA5586">
            <w:pPr>
              <w:spacing w:after="0" w:line="254" w:lineRule="auto"/>
              <w:rPr>
                <w:lang w:val="fr-FR"/>
              </w:rPr>
            </w:pPr>
            <w:r>
              <w:rPr>
                <w:sz w:val="18"/>
                <w:szCs w:val="18"/>
                <w:lang w:val="fr-CA"/>
              </w:rPr>
              <w:t>Gouvernance, rôles ou pouvoirs décisionnels mal définis ou fragmentés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7566D32" w14:textId="77777777" w:rsidR="006774F4" w:rsidRDefault="006774F4" w:rsidP="00AA5586">
            <w:pPr>
              <w:spacing w:after="0" w:line="254" w:lineRule="auto"/>
              <w:jc w:val="center"/>
            </w:pPr>
            <w:r>
              <w:rPr>
                <w:b/>
                <w:bCs/>
                <w:color w:val="B85C30"/>
                <w:sz w:val="18"/>
                <w:szCs w:val="18"/>
                <w:lang w:val="fr-CA"/>
              </w:rPr>
              <w:t>36,4 %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9A7F798" w14:textId="77777777" w:rsidR="006774F4" w:rsidRDefault="006774F4" w:rsidP="00AA5586">
            <w:pPr>
              <w:spacing w:after="0" w:line="254" w:lineRule="auto"/>
              <w:jc w:val="center"/>
            </w:pPr>
            <w:r>
              <w:rPr>
                <w:sz w:val="18"/>
                <w:szCs w:val="18"/>
              </w:rPr>
              <w:t>Governance</w:t>
            </w:r>
          </w:p>
        </w:tc>
      </w:tr>
      <w:tr w:rsidR="006774F4" w14:paraId="31B16EF0"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91EA09" w14:textId="77777777" w:rsidR="006774F4" w:rsidRDefault="006774F4" w:rsidP="00AA5586">
            <w:pPr>
              <w:spacing w:after="0" w:line="254" w:lineRule="auto"/>
              <w:jc w:val="center"/>
            </w:pPr>
            <w:r>
              <w:rPr>
                <w:b/>
                <w:bCs/>
                <w:sz w:val="18"/>
                <w:szCs w:val="18"/>
              </w:rPr>
              <w:t>C05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CC4A77" w14:textId="77777777" w:rsidR="006774F4" w:rsidRPr="006774F4" w:rsidRDefault="006774F4" w:rsidP="00AA5586">
            <w:pPr>
              <w:spacing w:after="0" w:line="254" w:lineRule="auto"/>
              <w:rPr>
                <w:lang w:val="fr-FR"/>
              </w:rPr>
            </w:pPr>
            <w:r>
              <w:rPr>
                <w:sz w:val="18"/>
                <w:szCs w:val="18"/>
                <w:lang w:val="fr-CA"/>
              </w:rPr>
              <w:t>Information communiquée aux décideurs incomplète, tardive ou trop optimiste</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517FFC" w14:textId="77777777" w:rsidR="006774F4" w:rsidRDefault="006774F4" w:rsidP="00AA5586">
            <w:pPr>
              <w:spacing w:after="0" w:line="254" w:lineRule="auto"/>
              <w:jc w:val="center"/>
            </w:pPr>
            <w:r>
              <w:rPr>
                <w:b/>
                <w:bCs/>
                <w:color w:val="B85C30"/>
                <w:sz w:val="18"/>
                <w:szCs w:val="18"/>
                <w:lang w:val="fr-CA"/>
              </w:rPr>
              <w:t>38,2 %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A7CEB3" w14:textId="77777777" w:rsidR="006774F4" w:rsidRDefault="006774F4" w:rsidP="00AA5586">
            <w:pPr>
              <w:spacing w:after="0" w:line="254" w:lineRule="auto"/>
              <w:jc w:val="center"/>
            </w:pPr>
            <w:r>
              <w:rPr>
                <w:sz w:val="18"/>
                <w:szCs w:val="18"/>
              </w:rPr>
              <w:t>Governance</w:t>
            </w:r>
          </w:p>
        </w:tc>
      </w:tr>
      <w:tr w:rsidR="006774F4" w14:paraId="3FB6094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EF9B2B8" w14:textId="77777777" w:rsidR="006774F4" w:rsidRDefault="006774F4" w:rsidP="00AA5586">
            <w:pPr>
              <w:spacing w:after="0" w:line="254" w:lineRule="auto"/>
              <w:jc w:val="center"/>
            </w:pPr>
            <w:r>
              <w:rPr>
                <w:b/>
                <w:bCs/>
                <w:sz w:val="18"/>
                <w:szCs w:val="18"/>
              </w:rPr>
              <w:t>C06</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C4A2C43" w14:textId="77777777" w:rsidR="006774F4" w:rsidRPr="006774F4" w:rsidRDefault="006774F4" w:rsidP="00AA5586">
            <w:pPr>
              <w:spacing w:after="0" w:line="254" w:lineRule="auto"/>
              <w:rPr>
                <w:lang w:val="fr-FR"/>
              </w:rPr>
            </w:pPr>
            <w:r>
              <w:rPr>
                <w:sz w:val="18"/>
                <w:szCs w:val="18"/>
                <w:lang w:val="fr-CA"/>
              </w:rPr>
              <w:t>Trace des décisions, documentation ou piste d’audit absente</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490E413" w14:textId="77777777" w:rsidR="006774F4" w:rsidRDefault="006774F4" w:rsidP="00AA5586">
            <w:pPr>
              <w:spacing w:after="0" w:line="254" w:lineRule="auto"/>
              <w:jc w:val="center"/>
            </w:pPr>
            <w:r>
              <w:rPr>
                <w:b/>
                <w:bCs/>
                <w:color w:val="B85C30"/>
                <w:sz w:val="18"/>
                <w:szCs w:val="18"/>
                <w:lang w:val="fr-CA"/>
              </w:rPr>
              <w:t>34,5 %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58A8FA8" w14:textId="77777777" w:rsidR="006774F4" w:rsidRDefault="006774F4" w:rsidP="00AA5586">
            <w:pPr>
              <w:spacing w:after="0" w:line="254" w:lineRule="auto"/>
              <w:jc w:val="center"/>
            </w:pPr>
            <w:r>
              <w:rPr>
                <w:sz w:val="18"/>
                <w:szCs w:val="18"/>
              </w:rPr>
              <w:t>Governance</w:t>
            </w:r>
          </w:p>
        </w:tc>
      </w:tr>
      <w:tr w:rsidR="006774F4" w14:paraId="332FE32F"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8FD70B" w14:textId="77777777" w:rsidR="006774F4" w:rsidRDefault="006774F4" w:rsidP="00AA5586">
            <w:pPr>
              <w:spacing w:after="0" w:line="254" w:lineRule="auto"/>
              <w:jc w:val="center"/>
            </w:pPr>
            <w:r>
              <w:rPr>
                <w:b/>
                <w:bCs/>
                <w:sz w:val="18"/>
                <w:szCs w:val="18"/>
              </w:rPr>
              <w:t>C07</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399571" w14:textId="77777777" w:rsidR="006774F4" w:rsidRPr="006774F4" w:rsidRDefault="006774F4" w:rsidP="00AA5586">
            <w:pPr>
              <w:spacing w:after="0" w:line="254" w:lineRule="auto"/>
              <w:rPr>
                <w:lang w:val="fr-FR"/>
              </w:rPr>
            </w:pPr>
            <w:r>
              <w:rPr>
                <w:sz w:val="18"/>
                <w:szCs w:val="18"/>
                <w:lang w:val="fr-CA"/>
              </w:rPr>
              <w:t>Information sur les biens, leur état ou les données telles que construites incomplète ou peu fiable</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26DEBA" w14:textId="77777777" w:rsidR="006774F4" w:rsidRDefault="006774F4" w:rsidP="00AA5586">
            <w:pPr>
              <w:spacing w:after="0" w:line="254" w:lineRule="auto"/>
              <w:jc w:val="center"/>
            </w:pPr>
            <w:r>
              <w:rPr>
                <w:b/>
                <w:bCs/>
                <w:color w:val="B85C30"/>
                <w:sz w:val="18"/>
                <w:szCs w:val="18"/>
                <w:lang w:val="fr-CA"/>
              </w:rPr>
              <w:t>29,1 %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3B54C5" w14:textId="77777777" w:rsidR="006774F4" w:rsidRDefault="006774F4" w:rsidP="00AA5586">
            <w:pPr>
              <w:spacing w:after="0" w:line="254" w:lineRule="auto"/>
              <w:jc w:val="center"/>
            </w:pPr>
            <w:r>
              <w:rPr>
                <w:sz w:val="18"/>
                <w:szCs w:val="18"/>
              </w:rPr>
              <w:t>Technology</w:t>
            </w:r>
          </w:p>
        </w:tc>
      </w:tr>
      <w:tr w:rsidR="006774F4" w14:paraId="0B2F1392"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F2B3ED7" w14:textId="77777777" w:rsidR="006774F4" w:rsidRDefault="006774F4" w:rsidP="00AA5586">
            <w:pPr>
              <w:spacing w:after="0" w:line="254" w:lineRule="auto"/>
              <w:jc w:val="center"/>
            </w:pPr>
            <w:r>
              <w:rPr>
                <w:b/>
                <w:bCs/>
                <w:sz w:val="18"/>
                <w:szCs w:val="18"/>
              </w:rPr>
              <w:t>C08</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916A3DC" w14:textId="77777777" w:rsidR="006774F4" w:rsidRPr="006774F4" w:rsidRDefault="006774F4" w:rsidP="00AA5586">
            <w:pPr>
              <w:spacing w:after="0" w:line="254" w:lineRule="auto"/>
              <w:rPr>
                <w:lang w:val="fr-FR"/>
              </w:rPr>
            </w:pPr>
            <w:r>
              <w:rPr>
                <w:sz w:val="18"/>
                <w:szCs w:val="18"/>
                <w:lang w:val="fr-CA"/>
              </w:rPr>
              <w:t>Modèle contractuel ou transfert des risques inefficace</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498FC07" w14:textId="77777777" w:rsidR="006774F4" w:rsidRDefault="006774F4" w:rsidP="00AA5586">
            <w:pPr>
              <w:spacing w:after="0" w:line="254" w:lineRule="auto"/>
              <w:jc w:val="center"/>
            </w:pPr>
            <w:r>
              <w:rPr>
                <w:b/>
                <w:bCs/>
                <w:color w:val="B85C30"/>
                <w:sz w:val="18"/>
                <w:szCs w:val="18"/>
                <w:lang w:val="fr-CA"/>
              </w:rPr>
              <w:t>22,7 %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C09487E" w14:textId="77777777" w:rsidR="006774F4" w:rsidRDefault="006774F4" w:rsidP="00AA5586">
            <w:pPr>
              <w:spacing w:after="0" w:line="254" w:lineRule="auto"/>
              <w:jc w:val="center"/>
            </w:pPr>
            <w:r>
              <w:rPr>
                <w:sz w:val="18"/>
                <w:szCs w:val="18"/>
              </w:rPr>
              <w:t>Contracts</w:t>
            </w:r>
          </w:p>
        </w:tc>
      </w:tr>
      <w:tr w:rsidR="006774F4" w14:paraId="3EEA14D8"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0E7D04" w14:textId="77777777" w:rsidR="006774F4" w:rsidRDefault="006774F4" w:rsidP="00AA5586">
            <w:pPr>
              <w:spacing w:after="0" w:line="254" w:lineRule="auto"/>
              <w:jc w:val="center"/>
            </w:pPr>
            <w:r>
              <w:rPr>
                <w:b/>
                <w:bCs/>
                <w:sz w:val="18"/>
                <w:szCs w:val="18"/>
              </w:rPr>
              <w:t>C09</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DEC60A" w14:textId="77777777" w:rsidR="006774F4" w:rsidRPr="006774F4" w:rsidRDefault="006774F4" w:rsidP="00AA5586">
            <w:pPr>
              <w:spacing w:after="0" w:line="254" w:lineRule="auto"/>
              <w:rPr>
                <w:lang w:val="fr-FR"/>
              </w:rPr>
            </w:pPr>
            <w:r>
              <w:rPr>
                <w:sz w:val="18"/>
                <w:szCs w:val="18"/>
                <w:lang w:val="fr-CA"/>
              </w:rPr>
              <w:t>Intégrité ou équité de l’approvisionnement, ou conflits d’intérêts</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604154" w14:textId="77777777" w:rsidR="006774F4" w:rsidRDefault="006774F4" w:rsidP="00AA5586">
            <w:pPr>
              <w:spacing w:after="0" w:line="254" w:lineRule="auto"/>
              <w:jc w:val="center"/>
            </w:pPr>
            <w:r>
              <w:rPr>
                <w:b/>
                <w:bCs/>
                <w:color w:val="B85C30"/>
                <w:sz w:val="18"/>
                <w:szCs w:val="18"/>
                <w:lang w:val="fr-CA"/>
              </w:rPr>
              <w:t>10,0 %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B7093C" w14:textId="77777777" w:rsidR="006774F4" w:rsidRDefault="006774F4" w:rsidP="00AA5586">
            <w:pPr>
              <w:spacing w:after="0" w:line="254" w:lineRule="auto"/>
              <w:jc w:val="center"/>
            </w:pPr>
            <w:r>
              <w:rPr>
                <w:sz w:val="18"/>
                <w:szCs w:val="18"/>
              </w:rPr>
              <w:t>Contracts</w:t>
            </w:r>
          </w:p>
        </w:tc>
      </w:tr>
      <w:tr w:rsidR="006774F4" w14:paraId="795EFDA2"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52E7856" w14:textId="77777777" w:rsidR="006774F4" w:rsidRDefault="006774F4" w:rsidP="00AA5586">
            <w:pPr>
              <w:spacing w:after="0" w:line="254" w:lineRule="auto"/>
              <w:jc w:val="center"/>
            </w:pPr>
            <w:r>
              <w:rPr>
                <w:b/>
                <w:bCs/>
                <w:sz w:val="18"/>
                <w:szCs w:val="18"/>
              </w:rPr>
              <w:t>C10</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2CB5B39" w14:textId="77777777" w:rsidR="006774F4" w:rsidRPr="006774F4" w:rsidRDefault="006774F4" w:rsidP="00AA5586">
            <w:pPr>
              <w:spacing w:after="0" w:line="254" w:lineRule="auto"/>
              <w:rPr>
                <w:lang w:val="fr-FR"/>
              </w:rPr>
            </w:pPr>
            <w:r>
              <w:rPr>
                <w:sz w:val="18"/>
                <w:szCs w:val="18"/>
                <w:lang w:val="fr-CA"/>
              </w:rPr>
              <w:t>Contrôle insuffisant des modifications et des réclamations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E778DB2" w14:textId="77777777" w:rsidR="006774F4" w:rsidRDefault="006774F4" w:rsidP="00AA5586">
            <w:pPr>
              <w:spacing w:after="0" w:line="254" w:lineRule="auto"/>
              <w:jc w:val="center"/>
            </w:pPr>
            <w:r>
              <w:rPr>
                <w:b/>
                <w:bCs/>
                <w:color w:val="B85C30"/>
                <w:sz w:val="18"/>
                <w:szCs w:val="18"/>
                <w:lang w:val="fr-CA"/>
              </w:rPr>
              <w:t>10,0 %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83C666" w14:textId="77777777" w:rsidR="006774F4" w:rsidRDefault="006774F4" w:rsidP="00AA5586">
            <w:pPr>
              <w:spacing w:after="0" w:line="254" w:lineRule="auto"/>
              <w:jc w:val="center"/>
            </w:pPr>
            <w:r>
              <w:rPr>
                <w:sz w:val="18"/>
                <w:szCs w:val="18"/>
              </w:rPr>
              <w:t>Process</w:t>
            </w:r>
          </w:p>
        </w:tc>
      </w:tr>
      <w:tr w:rsidR="006774F4" w14:paraId="000FEA43"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53419" w14:textId="77777777" w:rsidR="006774F4" w:rsidRDefault="006774F4" w:rsidP="00AA5586">
            <w:pPr>
              <w:spacing w:after="0" w:line="254" w:lineRule="auto"/>
              <w:jc w:val="center"/>
            </w:pPr>
            <w:r>
              <w:rPr>
                <w:b/>
                <w:bCs/>
                <w:sz w:val="18"/>
                <w:szCs w:val="18"/>
              </w:rPr>
              <w:t>C11</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1C93DA" w14:textId="77777777" w:rsidR="006774F4" w:rsidRPr="006774F4" w:rsidRDefault="006774F4" w:rsidP="00AA5586">
            <w:pPr>
              <w:spacing w:after="0" w:line="254" w:lineRule="auto"/>
              <w:rPr>
                <w:lang w:val="fr-FR"/>
              </w:rPr>
            </w:pPr>
            <w:r>
              <w:rPr>
                <w:sz w:val="18"/>
                <w:szCs w:val="18"/>
                <w:lang w:val="fr-CA"/>
              </w:rPr>
              <w:t>Bénéfices ou performance non mesurés</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60D3D5" w14:textId="77777777" w:rsidR="006774F4" w:rsidRDefault="006774F4" w:rsidP="00AA5586">
            <w:pPr>
              <w:spacing w:after="0" w:line="254" w:lineRule="auto"/>
              <w:jc w:val="center"/>
            </w:pPr>
            <w:r>
              <w:rPr>
                <w:b/>
                <w:bCs/>
                <w:color w:val="B85C30"/>
                <w:sz w:val="18"/>
                <w:szCs w:val="18"/>
                <w:lang w:val="fr-CA"/>
              </w:rPr>
              <w:t>20,9 %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AB70B7" w14:textId="77777777" w:rsidR="006774F4" w:rsidRDefault="006774F4" w:rsidP="00AA5586">
            <w:pPr>
              <w:spacing w:after="0" w:line="254" w:lineRule="auto"/>
              <w:jc w:val="center"/>
            </w:pPr>
            <w:r>
              <w:rPr>
                <w:sz w:val="18"/>
                <w:szCs w:val="18"/>
              </w:rPr>
              <w:t>Governance</w:t>
            </w:r>
          </w:p>
        </w:tc>
      </w:tr>
      <w:tr w:rsidR="006774F4" w14:paraId="1D0F3EDE"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D9AAE47" w14:textId="77777777" w:rsidR="006774F4" w:rsidRDefault="006774F4" w:rsidP="00AA5586">
            <w:pPr>
              <w:spacing w:after="0" w:line="254" w:lineRule="auto"/>
              <w:jc w:val="center"/>
            </w:pPr>
            <w:r>
              <w:rPr>
                <w:b/>
                <w:bCs/>
                <w:sz w:val="18"/>
                <w:szCs w:val="18"/>
              </w:rPr>
              <w:t>C12</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21CE4DD" w14:textId="77777777" w:rsidR="006774F4" w:rsidRPr="006774F4" w:rsidRDefault="006774F4" w:rsidP="00AA5586">
            <w:pPr>
              <w:spacing w:after="0" w:line="254" w:lineRule="auto"/>
              <w:rPr>
                <w:lang w:val="fr-FR"/>
              </w:rPr>
            </w:pPr>
            <w:r>
              <w:rPr>
                <w:sz w:val="18"/>
                <w:szCs w:val="18"/>
                <w:lang w:val="fr-CA"/>
              </w:rPr>
              <w:t>Coûts d’exploitation, d’entretien ou du cycle de vie non prévus ou non financés</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984B859" w14:textId="77777777" w:rsidR="006774F4" w:rsidRDefault="006774F4" w:rsidP="00AA5586">
            <w:pPr>
              <w:spacing w:after="0" w:line="254" w:lineRule="auto"/>
              <w:jc w:val="center"/>
            </w:pPr>
            <w:r>
              <w:rPr>
                <w:b/>
                <w:bCs/>
                <w:color w:val="B85C30"/>
                <w:sz w:val="18"/>
                <w:szCs w:val="18"/>
                <w:lang w:val="fr-CA"/>
              </w:rPr>
              <w:t>34,5 %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3A0DB71" w14:textId="77777777" w:rsidR="006774F4" w:rsidRDefault="006774F4" w:rsidP="00AA5586">
            <w:pPr>
              <w:spacing w:after="0" w:line="254" w:lineRule="auto"/>
              <w:jc w:val="center"/>
            </w:pPr>
            <w:r>
              <w:rPr>
                <w:sz w:val="18"/>
                <w:szCs w:val="18"/>
              </w:rPr>
              <w:t>Governance</w:t>
            </w:r>
          </w:p>
        </w:tc>
      </w:tr>
      <w:tr w:rsidR="006774F4" w14:paraId="22EEE239"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EB82B1" w14:textId="77777777" w:rsidR="006774F4" w:rsidRDefault="006774F4" w:rsidP="00AA5586">
            <w:pPr>
              <w:spacing w:after="0" w:line="254" w:lineRule="auto"/>
              <w:jc w:val="center"/>
            </w:pPr>
            <w:r>
              <w:rPr>
                <w:b/>
                <w:bCs/>
                <w:sz w:val="18"/>
                <w:szCs w:val="18"/>
              </w:rPr>
              <w:t>C13</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01BB69" w14:textId="77777777" w:rsidR="006774F4" w:rsidRPr="006774F4" w:rsidRDefault="006774F4" w:rsidP="00AA5586">
            <w:pPr>
              <w:spacing w:after="0" w:line="254" w:lineRule="auto"/>
              <w:rPr>
                <w:lang w:val="fr-FR"/>
              </w:rPr>
            </w:pPr>
            <w:r>
              <w:rPr>
                <w:sz w:val="18"/>
                <w:szCs w:val="18"/>
                <w:lang w:val="fr-CA"/>
              </w:rPr>
              <w:t>Écart de capacité ou de compétences</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7F6F68" w14:textId="77777777" w:rsidR="006774F4" w:rsidRDefault="006774F4" w:rsidP="00AA5586">
            <w:pPr>
              <w:spacing w:after="0" w:line="254" w:lineRule="auto"/>
              <w:jc w:val="center"/>
            </w:pPr>
            <w:r>
              <w:rPr>
                <w:b/>
                <w:bCs/>
                <w:color w:val="B85C30"/>
                <w:sz w:val="18"/>
                <w:szCs w:val="18"/>
                <w:lang w:val="fr-CA"/>
              </w:rPr>
              <w:t>7,3 %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1AE77" w14:textId="77777777" w:rsidR="006774F4" w:rsidRDefault="006774F4" w:rsidP="00AA5586">
            <w:pPr>
              <w:spacing w:after="0" w:line="254" w:lineRule="auto"/>
              <w:jc w:val="center"/>
            </w:pPr>
            <w:r>
              <w:rPr>
                <w:sz w:val="18"/>
                <w:szCs w:val="18"/>
              </w:rPr>
              <w:t>People</w:t>
            </w:r>
          </w:p>
        </w:tc>
      </w:tr>
      <w:tr w:rsidR="006774F4" w14:paraId="29CD503A"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1697A20" w14:textId="77777777" w:rsidR="006774F4" w:rsidRDefault="006774F4" w:rsidP="00AA5586">
            <w:pPr>
              <w:spacing w:after="0" w:line="254" w:lineRule="auto"/>
              <w:jc w:val="center"/>
            </w:pPr>
            <w:r>
              <w:rPr>
                <w:b/>
                <w:bCs/>
                <w:sz w:val="18"/>
                <w:szCs w:val="18"/>
              </w:rPr>
              <w:t>C14</w:t>
            </w:r>
          </w:p>
        </w:tc>
        <w:tc>
          <w:tcPr>
            <w:tcW w:w="5099"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67EFA2A" w14:textId="77777777" w:rsidR="006774F4" w:rsidRPr="006774F4" w:rsidRDefault="006774F4" w:rsidP="00AA5586">
            <w:pPr>
              <w:spacing w:after="0" w:line="254" w:lineRule="auto"/>
              <w:rPr>
                <w:lang w:val="fr-FR"/>
              </w:rPr>
            </w:pPr>
            <w:r>
              <w:rPr>
                <w:sz w:val="18"/>
                <w:szCs w:val="18"/>
                <w:lang w:val="fr-CA"/>
              </w:rPr>
              <w:t>Défaillance de l’assurance qualité, de l’inspection ou de la mise en service</w:t>
            </w:r>
          </w:p>
        </w:tc>
        <w:tc>
          <w:tcPr>
            <w:tcW w:w="168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04FDD3F" w14:textId="77777777" w:rsidR="006774F4" w:rsidRDefault="006774F4" w:rsidP="00AA5586">
            <w:pPr>
              <w:spacing w:after="0" w:line="254" w:lineRule="auto"/>
              <w:jc w:val="center"/>
            </w:pPr>
            <w:r>
              <w:rPr>
                <w:b/>
                <w:bCs/>
                <w:color w:val="B85C30"/>
                <w:sz w:val="18"/>
                <w:szCs w:val="18"/>
                <w:lang w:val="fr-CA"/>
              </w:rPr>
              <w:t>10,9 %</w:t>
            </w:r>
          </w:p>
        </w:tc>
        <w:tc>
          <w:tcPr>
            <w:tcW w:w="255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2E79860" w14:textId="77777777" w:rsidR="006774F4" w:rsidRDefault="006774F4" w:rsidP="00AA5586">
            <w:pPr>
              <w:spacing w:after="0" w:line="254" w:lineRule="auto"/>
              <w:jc w:val="center"/>
            </w:pPr>
            <w:r>
              <w:rPr>
                <w:sz w:val="18"/>
                <w:szCs w:val="18"/>
              </w:rPr>
              <w:t>Process</w:t>
            </w:r>
          </w:p>
        </w:tc>
      </w:tr>
      <w:tr w:rsidR="006774F4" w14:paraId="03201EFD" w14:textId="77777777" w:rsidTr="00AA5586">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8B8122" w14:textId="77777777" w:rsidR="006774F4" w:rsidRDefault="006774F4" w:rsidP="00AA5586">
            <w:pPr>
              <w:spacing w:after="0" w:line="254" w:lineRule="auto"/>
              <w:jc w:val="center"/>
            </w:pPr>
            <w:r>
              <w:rPr>
                <w:b/>
                <w:bCs/>
                <w:sz w:val="18"/>
                <w:szCs w:val="18"/>
              </w:rPr>
              <w:t>C15</w:t>
            </w:r>
          </w:p>
        </w:tc>
        <w:tc>
          <w:tcPr>
            <w:tcW w:w="50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E5DACE" w14:textId="77777777" w:rsidR="006774F4" w:rsidRPr="006774F4" w:rsidRDefault="006774F4" w:rsidP="00AA5586">
            <w:pPr>
              <w:spacing w:after="0" w:line="254" w:lineRule="auto"/>
              <w:rPr>
                <w:lang w:val="fr-FR"/>
              </w:rPr>
            </w:pPr>
            <w:r>
              <w:rPr>
                <w:sz w:val="18"/>
                <w:szCs w:val="18"/>
                <w:lang w:val="fr-CA"/>
              </w:rPr>
              <w:t>Assurance indépendante ou surveillance absente ou tardive</w:t>
            </w:r>
          </w:p>
        </w:tc>
        <w:tc>
          <w:tcPr>
            <w:tcW w:w="16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07E86E" w14:textId="77777777" w:rsidR="006774F4" w:rsidRDefault="006774F4" w:rsidP="00AA5586">
            <w:pPr>
              <w:spacing w:after="0" w:line="254" w:lineRule="auto"/>
              <w:jc w:val="center"/>
            </w:pPr>
            <w:r>
              <w:rPr>
                <w:b/>
                <w:bCs/>
                <w:color w:val="B85C30"/>
                <w:sz w:val="18"/>
                <w:szCs w:val="18"/>
                <w:lang w:val="fr-CA"/>
              </w:rPr>
              <w:t>20,9 %</w:t>
            </w:r>
          </w:p>
        </w:tc>
        <w:tc>
          <w:tcPr>
            <w:tcW w:w="25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6C8466" w14:textId="77777777" w:rsidR="006774F4" w:rsidRDefault="006774F4" w:rsidP="00AA5586">
            <w:pPr>
              <w:spacing w:after="0" w:line="254" w:lineRule="auto"/>
              <w:jc w:val="center"/>
            </w:pPr>
            <w:r>
              <w:rPr>
                <w:sz w:val="18"/>
                <w:szCs w:val="18"/>
              </w:rPr>
              <w:t>Governance</w:t>
            </w:r>
          </w:p>
        </w:tc>
      </w:tr>
    </w:tbl>
    <w:p w14:paraId="025192E6" w14:textId="77777777" w:rsidR="006774F4" w:rsidRDefault="006774F4" w:rsidP="006774F4">
      <w:pPr>
        <w:pStyle w:val="Heading1"/>
        <w:spacing w:before="380" w:after="170"/>
        <w:rPr>
          <w:b/>
          <w:bCs/>
          <w:color w:val="1B3A6B"/>
          <w:sz w:val="28"/>
          <w:szCs w:val="28"/>
        </w:rPr>
      </w:pPr>
    </w:p>
    <w:p w14:paraId="0E7D43DF" w14:textId="77777777" w:rsidR="006774F4" w:rsidRDefault="006774F4" w:rsidP="006774F4">
      <w:pPr>
        <w:spacing w:after="0" w:line="240" w:lineRule="auto"/>
        <w:rPr>
          <w:b/>
          <w:bCs/>
          <w:color w:val="1B3A6B"/>
          <w:sz w:val="28"/>
          <w:szCs w:val="28"/>
        </w:rPr>
      </w:pPr>
      <w:r>
        <w:br w:type="page"/>
      </w:r>
    </w:p>
    <w:p w14:paraId="76A182F8" w14:textId="77777777" w:rsidR="006774F4" w:rsidRDefault="006774F4" w:rsidP="006774F4">
      <w:pPr>
        <w:pStyle w:val="Heading1"/>
        <w:spacing w:after="170"/>
        <w:rPr>
          <w:b/>
          <w:bCs/>
          <w:color w:val="1B3A6B"/>
          <w:sz w:val="28"/>
          <w:szCs w:val="28"/>
        </w:rPr>
      </w:pPr>
      <w:bookmarkStart w:id="231" w:name="__RefHeading___Toc5023_3048004937"/>
      <w:bookmarkEnd w:id="231"/>
      <w:r>
        <w:rPr>
          <w:b/>
          <w:bCs/>
          <w:color w:val="1B3A6B"/>
          <w:sz w:val="28"/>
          <w:szCs w:val="28"/>
          <w:lang w:val="fr-CA"/>
        </w:rPr>
        <w:lastRenderedPageBreak/>
        <w:t>Annexe B.  Sources</w:t>
      </w:r>
    </w:p>
    <w:p w14:paraId="2D2A48D1" w14:textId="77777777" w:rsidR="006774F4" w:rsidRPr="006774F4" w:rsidRDefault="006774F4" w:rsidP="006774F4">
      <w:pPr>
        <w:rPr>
          <w:lang w:val="fr-FR"/>
        </w:rPr>
      </w:pPr>
      <w:r>
        <w:rPr>
          <w:lang w:val="fr-CA"/>
        </w:rPr>
        <w:t>Tous les rapports ci-dessous sont publics. Lorsqu’un lien a changé depuis la création du registre, l’emplacement archivé est consigné dans l’entrée correspondante.</w:t>
      </w:r>
    </w:p>
    <w:p w14:paraId="4A3850C4" w14:textId="77777777" w:rsidR="006774F4" w:rsidRDefault="006774F4" w:rsidP="006774F4">
      <w:pPr>
        <w:pStyle w:val="Heading2"/>
      </w:pPr>
      <w:bookmarkStart w:id="232" w:name="__RefHeading___Toc5025_3048004937"/>
      <w:bookmarkStart w:id="233" w:name="_Toc239750754"/>
      <w:bookmarkEnd w:id="232"/>
      <w:r>
        <w:rPr>
          <w:lang w:val="fr-CA"/>
        </w:rPr>
        <w:t>Les 15 cas canadiens</w:t>
      </w:r>
      <w:bookmarkEnd w:id="233"/>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498"/>
        <w:gridCol w:w="3500"/>
        <w:gridCol w:w="6242"/>
      </w:tblGrid>
      <w:tr w:rsidR="006774F4" w14:paraId="1365C6D4" w14:textId="77777777" w:rsidTr="00AA5586">
        <w:trPr>
          <w:cantSplit/>
          <w:tblHeader/>
        </w:trPr>
        <w:tc>
          <w:tcPr>
            <w:tcW w:w="498" w:type="dxa"/>
            <w:tcBorders>
              <w:bottom w:val="single" w:sz="4" w:space="0" w:color="000000"/>
            </w:tcBorders>
            <w:shd w:val="clear" w:color="auto" w:fill="1B3A6B"/>
          </w:tcPr>
          <w:p w14:paraId="6D7F5D0C" w14:textId="77777777" w:rsidR="006774F4" w:rsidRDefault="006774F4" w:rsidP="00AA5586">
            <w:pPr>
              <w:spacing w:after="0" w:line="254" w:lineRule="auto"/>
              <w:jc w:val="center"/>
              <w:rPr>
                <w:b/>
                <w:bCs/>
                <w:caps/>
                <w:color w:val="FFFFFF" w:themeColor="background1"/>
                <w:sz w:val="17"/>
                <w:szCs w:val="17"/>
              </w:rPr>
            </w:pPr>
            <w:r>
              <w:rPr>
                <w:b/>
                <w:bCs/>
                <w:caps/>
                <w:color w:val="FFFFFF"/>
                <w:spacing w:val="16"/>
                <w:sz w:val="17"/>
                <w:szCs w:val="17"/>
              </w:rPr>
              <w:t>#</w:t>
            </w:r>
          </w:p>
        </w:tc>
        <w:tc>
          <w:tcPr>
            <w:tcW w:w="3500" w:type="dxa"/>
            <w:tcBorders>
              <w:bottom w:val="single" w:sz="4" w:space="0" w:color="000000"/>
            </w:tcBorders>
            <w:shd w:val="clear" w:color="auto" w:fill="1B3A6B"/>
          </w:tcPr>
          <w:p w14:paraId="4A217A23" w14:textId="77777777" w:rsidR="006774F4" w:rsidRDefault="006774F4" w:rsidP="00AA5586">
            <w:pPr>
              <w:spacing w:after="0" w:line="254" w:lineRule="auto"/>
              <w:jc w:val="center"/>
            </w:pPr>
            <w:r>
              <w:rPr>
                <w:b/>
                <w:bCs/>
                <w:caps/>
                <w:color w:val="FFFFFF"/>
                <w:spacing w:val="16"/>
                <w:sz w:val="17"/>
                <w:szCs w:val="17"/>
                <w:lang w:val="fr-CA"/>
              </w:rPr>
              <w:t>Organisme émetteur</w:t>
            </w:r>
          </w:p>
        </w:tc>
        <w:tc>
          <w:tcPr>
            <w:tcW w:w="6242" w:type="dxa"/>
            <w:tcBorders>
              <w:bottom w:val="single" w:sz="4" w:space="0" w:color="000000"/>
            </w:tcBorders>
            <w:shd w:val="clear" w:color="auto" w:fill="1B3A6B"/>
          </w:tcPr>
          <w:p w14:paraId="01577666" w14:textId="77777777" w:rsidR="006774F4" w:rsidRDefault="006774F4" w:rsidP="00AA5586">
            <w:pPr>
              <w:spacing w:after="0" w:line="254" w:lineRule="auto"/>
              <w:jc w:val="center"/>
            </w:pPr>
            <w:r>
              <w:rPr>
                <w:b/>
                <w:bCs/>
                <w:caps/>
                <w:color w:val="FFFFFF"/>
                <w:spacing w:val="16"/>
                <w:sz w:val="17"/>
                <w:szCs w:val="17"/>
                <w:lang w:val="fr-CA"/>
              </w:rPr>
              <w:t>Rapport</w:t>
            </w:r>
          </w:p>
        </w:tc>
      </w:tr>
      <w:tr w:rsidR="006774F4" w:rsidRPr="006774F4" w14:paraId="16623BF8"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896718" w14:textId="77777777" w:rsidR="006774F4" w:rsidRDefault="006774F4" w:rsidP="00AA5586">
            <w:pPr>
              <w:spacing w:after="0" w:line="254" w:lineRule="auto"/>
              <w:jc w:val="center"/>
              <w:rPr>
                <w:b/>
                <w:bCs/>
                <w:sz w:val="17"/>
                <w:szCs w:val="17"/>
              </w:rPr>
            </w:pPr>
            <w:r>
              <w:rPr>
                <w:b/>
                <w:bCs/>
                <w:sz w:val="17"/>
                <w:szCs w:val="17"/>
              </w:rPr>
              <w:t>1</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44CBEA" w14:textId="77777777" w:rsidR="006774F4" w:rsidRPr="006774F4" w:rsidRDefault="006774F4" w:rsidP="00AA5586">
            <w:pPr>
              <w:spacing w:after="0" w:line="254" w:lineRule="auto"/>
              <w:rPr>
                <w:lang w:val="fr-FR"/>
              </w:rPr>
            </w:pPr>
            <w:r>
              <w:rPr>
                <w:sz w:val="17"/>
                <w:szCs w:val="17"/>
                <w:lang w:val="fr-CA"/>
              </w:rPr>
              <w:t>Commission d’enquête publique sur le train léger d’Ottawa, commissaire l’honorable William Hourigan</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4F970A" w14:textId="77777777" w:rsidR="006774F4" w:rsidRPr="006774F4" w:rsidRDefault="006774F4" w:rsidP="00AA5586">
            <w:pPr>
              <w:spacing w:after="0" w:line="254" w:lineRule="auto"/>
              <w:rPr>
                <w:lang w:val="fr-FR"/>
              </w:rPr>
            </w:pPr>
            <w:r>
              <w:rPr>
                <w:sz w:val="17"/>
                <w:szCs w:val="17"/>
                <w:lang w:val="fr-CA"/>
              </w:rPr>
              <w:t>Rapport de la Commission d’enquête publique sur le train léger d’Ottawa, 2022</w:t>
            </w:r>
          </w:p>
        </w:tc>
      </w:tr>
      <w:tr w:rsidR="006774F4" w:rsidRPr="006774F4" w14:paraId="2411F563"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1A34AB2" w14:textId="77777777" w:rsidR="006774F4" w:rsidRDefault="006774F4" w:rsidP="00AA5586">
            <w:pPr>
              <w:spacing w:after="0" w:line="254" w:lineRule="auto"/>
              <w:jc w:val="center"/>
              <w:rPr>
                <w:b/>
                <w:bCs/>
                <w:sz w:val="17"/>
                <w:szCs w:val="17"/>
              </w:rPr>
            </w:pPr>
            <w:r>
              <w:rPr>
                <w:b/>
                <w:bCs/>
                <w:sz w:val="17"/>
                <w:szCs w:val="17"/>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07571F3" w14:textId="77777777" w:rsidR="006774F4" w:rsidRPr="006774F4" w:rsidRDefault="006774F4" w:rsidP="00AA5586">
            <w:pPr>
              <w:spacing w:after="0" w:line="254" w:lineRule="auto"/>
              <w:rPr>
                <w:lang w:val="fr-FR"/>
              </w:rPr>
            </w:pPr>
            <w:r>
              <w:rPr>
                <w:sz w:val="17"/>
                <w:szCs w:val="17"/>
                <w:lang w:val="fr-CA"/>
              </w:rPr>
              <w:t>Enquête sur le quartier général du Service de police de Winnipeg, rapport d’expert de Deloitte LLP</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34A11E3E" w14:textId="77777777" w:rsidR="006774F4" w:rsidRPr="006774F4" w:rsidRDefault="006774F4" w:rsidP="00AA5586">
            <w:pPr>
              <w:spacing w:after="0" w:line="254" w:lineRule="auto"/>
              <w:rPr>
                <w:lang w:val="fr-FR"/>
              </w:rPr>
            </w:pPr>
            <w:r>
              <w:rPr>
                <w:sz w:val="17"/>
                <w:szCs w:val="17"/>
                <w:lang w:val="fr-CA"/>
              </w:rPr>
              <w:t>Enquête sur le quartier général du Service de police de Winnipeg — pratiques de gestion de projet, 2026</w:t>
            </w:r>
          </w:p>
        </w:tc>
      </w:tr>
      <w:tr w:rsidR="006774F4" w:rsidRPr="006774F4" w14:paraId="01B2275E"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FF932B" w14:textId="77777777" w:rsidR="006774F4" w:rsidRDefault="006774F4" w:rsidP="00AA5586">
            <w:pPr>
              <w:spacing w:after="0" w:line="254" w:lineRule="auto"/>
              <w:jc w:val="center"/>
              <w:rPr>
                <w:b/>
                <w:bCs/>
                <w:sz w:val="17"/>
                <w:szCs w:val="17"/>
              </w:rPr>
            </w:pPr>
            <w:r>
              <w:rPr>
                <w:b/>
                <w:bCs/>
                <w:sz w:val="17"/>
                <w:szCs w:val="17"/>
              </w:rPr>
              <w:t>3</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BDC3A7" w14:textId="77777777" w:rsidR="006774F4" w:rsidRPr="006774F4" w:rsidRDefault="006774F4" w:rsidP="00AA5586">
            <w:pPr>
              <w:spacing w:after="0" w:line="254" w:lineRule="auto"/>
              <w:rPr>
                <w:lang w:val="fr-FR"/>
              </w:rPr>
            </w:pPr>
            <w:r>
              <w:rPr>
                <w:sz w:val="17"/>
                <w:szCs w:val="17"/>
                <w:lang w:val="fr-CA"/>
              </w:rPr>
              <w:t>Vérificateur général, Ville de Toronto</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07DCE6" w14:textId="77777777" w:rsidR="006774F4" w:rsidRPr="006774F4" w:rsidRDefault="006774F4" w:rsidP="00AA5586">
            <w:pPr>
              <w:spacing w:after="0" w:line="254" w:lineRule="auto"/>
              <w:rPr>
                <w:lang w:val="fr-FR"/>
              </w:rPr>
            </w:pPr>
            <w:r>
              <w:rPr>
                <w:sz w:val="17"/>
                <w:szCs w:val="17"/>
                <w:lang w:val="fr-CA"/>
              </w:rPr>
              <w:t xml:space="preserve">Veiller à ce que les locataires de logements sociaux disposent de logements en bon état — Audit de la planification des immobilisations pour la réparation des immeubles de Toronto Community </w:t>
            </w:r>
            <w:proofErr w:type="spellStart"/>
            <w:r>
              <w:rPr>
                <w:sz w:val="17"/>
                <w:szCs w:val="17"/>
                <w:lang w:val="fr-CA"/>
              </w:rPr>
              <w:t>Housing</w:t>
            </w:r>
            <w:proofErr w:type="spellEnd"/>
            <w:r>
              <w:rPr>
                <w:sz w:val="17"/>
                <w:szCs w:val="17"/>
                <w:lang w:val="fr-CA"/>
              </w:rPr>
              <w:t xml:space="preserve"> Corporation, 2026</w:t>
            </w:r>
          </w:p>
        </w:tc>
      </w:tr>
      <w:tr w:rsidR="006774F4" w:rsidRPr="006774F4" w14:paraId="776732F7"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A9D0363" w14:textId="77777777" w:rsidR="006774F4" w:rsidRDefault="006774F4" w:rsidP="00AA5586">
            <w:pPr>
              <w:spacing w:after="0" w:line="254" w:lineRule="auto"/>
              <w:jc w:val="center"/>
              <w:rPr>
                <w:b/>
                <w:bCs/>
                <w:sz w:val="17"/>
                <w:szCs w:val="17"/>
              </w:rPr>
            </w:pPr>
            <w:r>
              <w:rPr>
                <w:b/>
                <w:bCs/>
                <w:sz w:val="17"/>
                <w:szCs w:val="17"/>
              </w:rPr>
              <w:t>4</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497B652" w14:textId="77777777" w:rsidR="006774F4" w:rsidRPr="006774F4" w:rsidRDefault="006774F4" w:rsidP="00AA5586">
            <w:pPr>
              <w:spacing w:after="0" w:line="254" w:lineRule="auto"/>
              <w:rPr>
                <w:lang w:val="fr-FR"/>
              </w:rPr>
            </w:pPr>
            <w:r>
              <w:rPr>
                <w:sz w:val="17"/>
                <w:szCs w:val="17"/>
                <w:lang w:val="fr-CA"/>
              </w:rPr>
              <w:t>Bureau du vérificateur général du Canada, rapport à l’Assemblée législative des Territoires du Nord-Ouest</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B3A51F7" w14:textId="77777777" w:rsidR="006774F4" w:rsidRPr="006774F4" w:rsidRDefault="006774F4" w:rsidP="00AA5586">
            <w:pPr>
              <w:spacing w:after="0" w:line="254" w:lineRule="auto"/>
              <w:rPr>
                <w:lang w:val="fr-FR"/>
              </w:rPr>
            </w:pPr>
            <w:r>
              <w:rPr>
                <w:sz w:val="17"/>
                <w:szCs w:val="17"/>
                <w:lang w:val="fr-CA"/>
              </w:rPr>
              <w:t>Projet de renouvellement de l’Hôpital territorial Stanton, 2024</w:t>
            </w:r>
          </w:p>
        </w:tc>
      </w:tr>
      <w:tr w:rsidR="006774F4" w:rsidRPr="006774F4" w14:paraId="3C46568D"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1B1D73" w14:textId="77777777" w:rsidR="006774F4" w:rsidRDefault="006774F4" w:rsidP="00AA5586">
            <w:pPr>
              <w:spacing w:after="0" w:line="254" w:lineRule="auto"/>
              <w:jc w:val="center"/>
              <w:rPr>
                <w:b/>
                <w:bCs/>
                <w:sz w:val="17"/>
                <w:szCs w:val="17"/>
              </w:rPr>
            </w:pPr>
            <w:r>
              <w:rPr>
                <w:b/>
                <w:bCs/>
                <w:sz w:val="17"/>
                <w:szCs w:val="17"/>
              </w:rPr>
              <w:t>5</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459806" w14:textId="77777777" w:rsidR="006774F4" w:rsidRPr="006774F4" w:rsidRDefault="006774F4" w:rsidP="00AA5586">
            <w:pPr>
              <w:spacing w:after="0" w:line="254" w:lineRule="auto"/>
              <w:rPr>
                <w:lang w:val="fr-FR"/>
              </w:rPr>
            </w:pPr>
            <w:r>
              <w:rPr>
                <w:sz w:val="17"/>
                <w:szCs w:val="17"/>
                <w:lang w:val="fr-CA"/>
              </w:rPr>
              <w:t>Bureau du vérificateur général du Canada</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E5F074" w14:textId="77777777" w:rsidR="006774F4" w:rsidRPr="006774F4" w:rsidRDefault="006774F4" w:rsidP="00AA5586">
            <w:pPr>
              <w:spacing w:after="0" w:line="254" w:lineRule="auto"/>
              <w:rPr>
                <w:lang w:val="fr-FR"/>
              </w:rPr>
            </w:pPr>
            <w:r>
              <w:rPr>
                <w:sz w:val="17"/>
                <w:szCs w:val="17"/>
                <w:lang w:val="fr-CA"/>
              </w:rPr>
              <w:t>Rapport 3 — Utilisation actuelle et future des locaux à bureaux fédéraux, 2025</w:t>
            </w:r>
          </w:p>
        </w:tc>
      </w:tr>
      <w:tr w:rsidR="006774F4" w:rsidRPr="006774F4" w14:paraId="4876B807"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17332D7" w14:textId="77777777" w:rsidR="006774F4" w:rsidRDefault="006774F4" w:rsidP="00AA5586">
            <w:pPr>
              <w:spacing w:after="0" w:line="254" w:lineRule="auto"/>
              <w:jc w:val="center"/>
              <w:rPr>
                <w:b/>
                <w:bCs/>
                <w:sz w:val="17"/>
                <w:szCs w:val="17"/>
              </w:rPr>
            </w:pPr>
            <w:r>
              <w:rPr>
                <w:b/>
                <w:bCs/>
                <w:sz w:val="17"/>
                <w:szCs w:val="17"/>
              </w:rPr>
              <w:t>6</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B725737" w14:textId="77777777" w:rsidR="006774F4" w:rsidRDefault="006774F4" w:rsidP="00AA5586">
            <w:pPr>
              <w:spacing w:after="0" w:line="254" w:lineRule="auto"/>
            </w:pPr>
            <w:proofErr w:type="spellStart"/>
            <w:r>
              <w:rPr>
                <w:sz w:val="17"/>
                <w:szCs w:val="17"/>
              </w:rPr>
              <w:t>Vérificateur</w:t>
            </w:r>
            <w:proofErr w:type="spellEnd"/>
            <w:r>
              <w:rPr>
                <w:sz w:val="17"/>
                <w:szCs w:val="17"/>
              </w:rPr>
              <w:t xml:space="preserve"> </w:t>
            </w:r>
            <w:proofErr w:type="spellStart"/>
            <w:r>
              <w:rPr>
                <w:sz w:val="17"/>
                <w:szCs w:val="17"/>
              </w:rPr>
              <w:t>général</w:t>
            </w:r>
            <w:proofErr w:type="spellEnd"/>
            <w:r>
              <w:rPr>
                <w:sz w:val="17"/>
                <w:szCs w:val="17"/>
              </w:rPr>
              <w:t xml:space="preserve"> du Québec</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C88D597" w14:textId="77777777" w:rsidR="006774F4" w:rsidRDefault="006774F4" w:rsidP="00AA5586">
            <w:pPr>
              <w:spacing w:after="0" w:line="254" w:lineRule="auto"/>
              <w:rPr>
                <w:lang w:val="fr-CA"/>
              </w:rPr>
            </w:pPr>
            <w:r>
              <w:rPr>
                <w:sz w:val="17"/>
                <w:szCs w:val="17"/>
                <w:lang w:val="fr-CA"/>
              </w:rPr>
              <w:t>Rapport à l'Assemblée nationale 2024-2025, novembre 2024, chapitre 5. Réseau express métropolitain, mise à jour de l'analyse comptable du montage financier publiée en 2018</w:t>
            </w:r>
            <w:r>
              <w:rPr>
                <w:b/>
                <w:bCs/>
                <w:sz w:val="17"/>
                <w:szCs w:val="17"/>
                <w:lang w:val="fr-CA"/>
              </w:rPr>
              <w:t>, 2024</w:t>
            </w:r>
          </w:p>
        </w:tc>
      </w:tr>
      <w:tr w:rsidR="006774F4" w:rsidRPr="006774F4" w14:paraId="47F1D560"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7ECAE6" w14:textId="77777777" w:rsidR="006774F4" w:rsidRDefault="006774F4" w:rsidP="00AA5586">
            <w:pPr>
              <w:spacing w:after="0" w:line="254" w:lineRule="auto"/>
              <w:jc w:val="center"/>
              <w:rPr>
                <w:b/>
                <w:bCs/>
                <w:sz w:val="17"/>
                <w:szCs w:val="17"/>
              </w:rPr>
            </w:pPr>
            <w:r>
              <w:rPr>
                <w:b/>
                <w:bCs/>
                <w:sz w:val="17"/>
                <w:szCs w:val="17"/>
              </w:rPr>
              <w:t>7</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3A91AD" w14:textId="77777777" w:rsidR="006774F4" w:rsidRPr="006774F4" w:rsidRDefault="006774F4" w:rsidP="00AA5586">
            <w:pPr>
              <w:spacing w:after="0" w:line="254" w:lineRule="auto"/>
              <w:rPr>
                <w:lang w:val="fr-FR"/>
              </w:rPr>
            </w:pPr>
            <w:r>
              <w:rPr>
                <w:sz w:val="17"/>
                <w:szCs w:val="17"/>
                <w:lang w:val="fr-CA"/>
              </w:rPr>
              <w:t>Vérificateur général, Ville de Toronto</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F3758F" w14:textId="77777777" w:rsidR="006774F4" w:rsidRPr="006774F4" w:rsidRDefault="006774F4" w:rsidP="00AA5586">
            <w:pPr>
              <w:spacing w:after="0" w:line="254" w:lineRule="auto"/>
              <w:rPr>
                <w:lang w:val="fr-FR"/>
              </w:rPr>
            </w:pPr>
            <w:r>
              <w:rPr>
                <w:sz w:val="17"/>
                <w:szCs w:val="17"/>
                <w:lang w:val="fr-CA"/>
              </w:rPr>
              <w:t>Audit de Toronto Water : gestion des contrats liés aux eaux pluviales et aux eaux usées, 2025</w:t>
            </w:r>
          </w:p>
        </w:tc>
      </w:tr>
      <w:tr w:rsidR="006774F4" w:rsidRPr="006774F4" w14:paraId="6C4FD79A"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2393A954" w14:textId="77777777" w:rsidR="006774F4" w:rsidRDefault="006774F4" w:rsidP="00AA5586">
            <w:pPr>
              <w:spacing w:after="0" w:line="254" w:lineRule="auto"/>
              <w:jc w:val="center"/>
              <w:rPr>
                <w:b/>
                <w:bCs/>
                <w:sz w:val="17"/>
                <w:szCs w:val="17"/>
              </w:rPr>
            </w:pPr>
            <w:r>
              <w:rPr>
                <w:b/>
                <w:bCs/>
                <w:sz w:val="17"/>
                <w:szCs w:val="17"/>
              </w:rPr>
              <w:t>8</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D3D31B" w14:textId="77777777" w:rsidR="006774F4" w:rsidRPr="006774F4" w:rsidRDefault="006774F4" w:rsidP="00AA5586">
            <w:pPr>
              <w:spacing w:after="0" w:line="254" w:lineRule="auto"/>
              <w:rPr>
                <w:lang w:val="fr-FR"/>
              </w:rPr>
            </w:pPr>
            <w:r>
              <w:rPr>
                <w:sz w:val="17"/>
                <w:szCs w:val="17"/>
                <w:lang w:val="fr-CA"/>
              </w:rPr>
              <w:t>Bureau du vérificateur général de la Nouvelle-Écosse</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356999C" w14:textId="77777777" w:rsidR="006774F4" w:rsidRPr="006774F4" w:rsidRDefault="006774F4" w:rsidP="00AA5586">
            <w:pPr>
              <w:spacing w:after="0" w:line="254" w:lineRule="auto"/>
              <w:rPr>
                <w:lang w:val="fr-FR"/>
              </w:rPr>
            </w:pPr>
            <w:r>
              <w:rPr>
                <w:sz w:val="17"/>
                <w:szCs w:val="17"/>
                <w:lang w:val="fr-CA"/>
              </w:rPr>
              <w:t>Rapport 2025 à l’Assemblée législative de la Nouvelle-Écosse — Audit de performance : planification des immobilisations scolaires, ministère de l’Éducation et du Développement de la petite enfance, 2025</w:t>
            </w:r>
          </w:p>
        </w:tc>
      </w:tr>
      <w:tr w:rsidR="006774F4" w:rsidRPr="006774F4" w14:paraId="4C421D48"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0F184B" w14:textId="77777777" w:rsidR="006774F4" w:rsidRDefault="006774F4" w:rsidP="00AA5586">
            <w:pPr>
              <w:spacing w:after="0" w:line="254" w:lineRule="auto"/>
              <w:jc w:val="center"/>
              <w:rPr>
                <w:b/>
                <w:bCs/>
                <w:sz w:val="17"/>
                <w:szCs w:val="17"/>
              </w:rPr>
            </w:pPr>
            <w:r>
              <w:rPr>
                <w:b/>
                <w:bCs/>
                <w:sz w:val="17"/>
                <w:szCs w:val="17"/>
              </w:rPr>
              <w:t>9</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23DE12" w14:textId="77777777" w:rsidR="006774F4" w:rsidRPr="006774F4" w:rsidRDefault="006774F4" w:rsidP="00AA5586">
            <w:pPr>
              <w:spacing w:after="0" w:line="254" w:lineRule="auto"/>
              <w:rPr>
                <w:lang w:val="fr-FR"/>
              </w:rPr>
            </w:pPr>
            <w:r>
              <w:rPr>
                <w:sz w:val="17"/>
                <w:szCs w:val="17"/>
                <w:lang w:val="fr-CA"/>
              </w:rPr>
              <w:t>Bureau du vérificateur général de la Colombie-Britannique</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B36CC" w14:textId="77777777" w:rsidR="006774F4" w:rsidRPr="006774F4" w:rsidRDefault="006774F4" w:rsidP="00AA5586">
            <w:pPr>
              <w:spacing w:after="0" w:line="254" w:lineRule="auto"/>
              <w:rPr>
                <w:lang w:val="fr-FR"/>
              </w:rPr>
            </w:pPr>
            <w:r>
              <w:rPr>
                <w:sz w:val="17"/>
                <w:szCs w:val="17"/>
                <w:lang w:val="fr-CA"/>
              </w:rPr>
              <w:t>Gestion du risque de fraude — barrage et projet hydroélectrique Site C, 2022</w:t>
            </w:r>
          </w:p>
        </w:tc>
      </w:tr>
      <w:tr w:rsidR="006774F4" w:rsidRPr="006774F4" w14:paraId="2238404A"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F6A1F96" w14:textId="77777777" w:rsidR="006774F4" w:rsidRDefault="006774F4" w:rsidP="00AA5586">
            <w:pPr>
              <w:spacing w:after="0" w:line="254" w:lineRule="auto"/>
              <w:jc w:val="center"/>
              <w:rPr>
                <w:b/>
                <w:bCs/>
                <w:sz w:val="17"/>
                <w:szCs w:val="17"/>
              </w:rPr>
            </w:pPr>
            <w:r>
              <w:rPr>
                <w:b/>
                <w:bCs/>
                <w:sz w:val="17"/>
                <w:szCs w:val="17"/>
              </w:rPr>
              <w:t>10</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54A7B75" w14:textId="77777777" w:rsidR="006774F4" w:rsidRPr="006774F4" w:rsidRDefault="006774F4" w:rsidP="00AA5586">
            <w:pPr>
              <w:spacing w:after="0" w:line="254" w:lineRule="auto"/>
              <w:rPr>
                <w:lang w:val="fr-FR"/>
              </w:rPr>
            </w:pPr>
            <w:r>
              <w:rPr>
                <w:sz w:val="17"/>
                <w:szCs w:val="17"/>
                <w:lang w:val="fr-CA"/>
              </w:rPr>
              <w:t>Bureau du vérificateur général de l’Alberta</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56F19A9" w14:textId="77777777" w:rsidR="006774F4" w:rsidRPr="006774F4" w:rsidRDefault="006774F4" w:rsidP="00AA5586">
            <w:pPr>
              <w:spacing w:after="0" w:line="254" w:lineRule="auto"/>
              <w:rPr>
                <w:lang w:val="fr-FR"/>
              </w:rPr>
            </w:pPr>
            <w:r>
              <w:rPr>
                <w:sz w:val="17"/>
                <w:szCs w:val="17"/>
                <w:lang w:val="fr-CA"/>
              </w:rPr>
              <w:t>Centre de soins résidentiels de Fort McMurray — gestion du projet Willow Square, 2020</w:t>
            </w:r>
          </w:p>
        </w:tc>
      </w:tr>
      <w:tr w:rsidR="006774F4" w:rsidRPr="006774F4" w14:paraId="0C12A618"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070CD4" w14:textId="77777777" w:rsidR="006774F4" w:rsidRDefault="006774F4" w:rsidP="00AA5586">
            <w:pPr>
              <w:spacing w:after="0" w:line="254" w:lineRule="auto"/>
              <w:jc w:val="center"/>
              <w:rPr>
                <w:b/>
                <w:bCs/>
                <w:sz w:val="17"/>
                <w:szCs w:val="17"/>
              </w:rPr>
            </w:pPr>
            <w:r>
              <w:rPr>
                <w:b/>
                <w:bCs/>
                <w:sz w:val="17"/>
                <w:szCs w:val="17"/>
              </w:rPr>
              <w:t>11</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8418D4" w14:textId="77777777" w:rsidR="006774F4" w:rsidRPr="006774F4" w:rsidRDefault="006774F4" w:rsidP="00AA5586">
            <w:pPr>
              <w:spacing w:after="0" w:line="254" w:lineRule="auto"/>
              <w:rPr>
                <w:lang w:val="fr-FR"/>
              </w:rPr>
            </w:pPr>
            <w:r>
              <w:rPr>
                <w:sz w:val="17"/>
                <w:szCs w:val="17"/>
                <w:lang w:val="fr-CA"/>
              </w:rPr>
              <w:t>Bureau de la vérificatrice générale de l’Ontario</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B94181" w14:textId="77777777" w:rsidR="006774F4" w:rsidRPr="006774F4" w:rsidRDefault="006774F4" w:rsidP="00AA5586">
            <w:pPr>
              <w:spacing w:after="0" w:line="254" w:lineRule="auto"/>
              <w:rPr>
                <w:lang w:val="fr-FR"/>
              </w:rPr>
            </w:pPr>
            <w:r>
              <w:rPr>
                <w:sz w:val="17"/>
                <w:szCs w:val="17"/>
                <w:lang w:val="fr-CA"/>
              </w:rPr>
              <w:t>Audit de l’optimisation des ressources : inspection et entretien des ponts et ponceaux de la province, 2021</w:t>
            </w:r>
          </w:p>
        </w:tc>
      </w:tr>
      <w:tr w:rsidR="006774F4" w:rsidRPr="006774F4" w14:paraId="3CBBB591"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27A8AFC" w14:textId="77777777" w:rsidR="006774F4" w:rsidRDefault="006774F4" w:rsidP="00AA5586">
            <w:pPr>
              <w:spacing w:after="0" w:line="254" w:lineRule="auto"/>
              <w:jc w:val="center"/>
              <w:rPr>
                <w:b/>
                <w:bCs/>
                <w:sz w:val="17"/>
                <w:szCs w:val="17"/>
              </w:rPr>
            </w:pPr>
            <w:r>
              <w:rPr>
                <w:b/>
                <w:bCs/>
                <w:sz w:val="17"/>
                <w:szCs w:val="17"/>
              </w:rPr>
              <w:t>12</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232BC16" w14:textId="77777777" w:rsidR="006774F4" w:rsidRPr="006774F4" w:rsidRDefault="006774F4" w:rsidP="00AA5586">
            <w:pPr>
              <w:spacing w:after="0" w:line="254" w:lineRule="auto"/>
              <w:rPr>
                <w:lang w:val="fr-FR"/>
              </w:rPr>
            </w:pPr>
            <w:r>
              <w:rPr>
                <w:sz w:val="17"/>
                <w:szCs w:val="17"/>
                <w:lang w:val="fr-CA"/>
              </w:rPr>
              <w:t>Sous-ministre adjoint (Services d’examen), ministère de la Défense nationale</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F669054" w14:textId="77777777" w:rsidR="006774F4" w:rsidRPr="006774F4" w:rsidRDefault="006774F4" w:rsidP="00AA5586">
            <w:pPr>
              <w:spacing w:after="0" w:line="254" w:lineRule="auto"/>
              <w:rPr>
                <w:lang w:val="fr-FR"/>
              </w:rPr>
            </w:pPr>
            <w:r>
              <w:rPr>
                <w:sz w:val="17"/>
                <w:szCs w:val="17"/>
                <w:lang w:val="fr-CA"/>
              </w:rPr>
              <w:t>Audit des infrastructures de la Défense, 2024</w:t>
            </w:r>
          </w:p>
        </w:tc>
      </w:tr>
      <w:tr w:rsidR="006774F4" w:rsidRPr="006774F4" w14:paraId="4667D0DB"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31475B" w14:textId="77777777" w:rsidR="006774F4" w:rsidRDefault="006774F4" w:rsidP="00AA5586">
            <w:pPr>
              <w:spacing w:after="0" w:line="254" w:lineRule="auto"/>
              <w:jc w:val="center"/>
              <w:rPr>
                <w:b/>
                <w:bCs/>
                <w:sz w:val="17"/>
                <w:szCs w:val="17"/>
              </w:rPr>
            </w:pPr>
            <w:r>
              <w:rPr>
                <w:b/>
                <w:bCs/>
                <w:sz w:val="17"/>
                <w:szCs w:val="17"/>
              </w:rPr>
              <w:t>13</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8B3311" w14:textId="77777777" w:rsidR="006774F4" w:rsidRPr="006774F4" w:rsidRDefault="006774F4" w:rsidP="00AA5586">
            <w:pPr>
              <w:spacing w:after="0" w:line="254" w:lineRule="auto"/>
              <w:rPr>
                <w:lang w:val="fr-FR"/>
              </w:rPr>
            </w:pPr>
            <w:r>
              <w:rPr>
                <w:sz w:val="17"/>
                <w:szCs w:val="17"/>
                <w:lang w:val="fr-CA"/>
              </w:rPr>
              <w:t xml:space="preserve">Commission d’enquête sur le projet Muskrat Falls, commissaire Richard D. </w:t>
            </w:r>
            <w:proofErr w:type="spellStart"/>
            <w:r>
              <w:rPr>
                <w:sz w:val="17"/>
                <w:szCs w:val="17"/>
                <w:lang w:val="fr-CA"/>
              </w:rPr>
              <w:t>LeBlanc</w:t>
            </w:r>
            <w:proofErr w:type="spellEnd"/>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32F82E" w14:textId="77777777" w:rsidR="006774F4" w:rsidRPr="006774F4" w:rsidRDefault="006774F4" w:rsidP="00AA5586">
            <w:pPr>
              <w:spacing w:after="0" w:line="254" w:lineRule="auto"/>
              <w:rPr>
                <w:lang w:val="fr-FR"/>
              </w:rPr>
            </w:pPr>
            <w:r>
              <w:rPr>
                <w:sz w:val="17"/>
                <w:szCs w:val="17"/>
                <w:lang w:val="fr-CA"/>
              </w:rPr>
              <w:t>Commission d’enquête sur le projet Muskrat Falls — Rapport final, volume 1, 2020</w:t>
            </w:r>
          </w:p>
        </w:tc>
      </w:tr>
      <w:tr w:rsidR="006774F4" w:rsidRPr="006774F4" w14:paraId="3ACD42C5"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17C43ABA" w14:textId="77777777" w:rsidR="006774F4" w:rsidRDefault="006774F4" w:rsidP="00AA5586">
            <w:pPr>
              <w:spacing w:after="0" w:line="254" w:lineRule="auto"/>
              <w:jc w:val="center"/>
              <w:rPr>
                <w:b/>
                <w:bCs/>
                <w:sz w:val="17"/>
                <w:szCs w:val="17"/>
              </w:rPr>
            </w:pPr>
            <w:r>
              <w:rPr>
                <w:b/>
                <w:bCs/>
                <w:sz w:val="17"/>
                <w:szCs w:val="17"/>
              </w:rPr>
              <w:t>14</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E0DAAE4" w14:textId="77777777" w:rsidR="006774F4" w:rsidRPr="006774F4" w:rsidRDefault="006774F4" w:rsidP="00AA5586">
            <w:pPr>
              <w:spacing w:after="0" w:line="254" w:lineRule="auto"/>
              <w:rPr>
                <w:lang w:val="fr-FR"/>
              </w:rPr>
            </w:pPr>
            <w:r>
              <w:rPr>
                <w:sz w:val="17"/>
                <w:szCs w:val="17"/>
                <w:lang w:val="fr-CA"/>
              </w:rPr>
              <w:t>Vérificateur provincial de la Saskatchewan</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D61C4F1" w14:textId="77777777" w:rsidR="006774F4" w:rsidRPr="006774F4" w:rsidRDefault="006774F4" w:rsidP="00AA5586">
            <w:pPr>
              <w:spacing w:after="0" w:line="254" w:lineRule="auto"/>
              <w:rPr>
                <w:lang w:val="fr-FR"/>
              </w:rPr>
            </w:pPr>
            <w:proofErr w:type="spellStart"/>
            <w:r>
              <w:rPr>
                <w:sz w:val="17"/>
                <w:szCs w:val="17"/>
                <w:lang w:val="fr-CA"/>
              </w:rPr>
              <w:t>SaskPower</w:t>
            </w:r>
            <w:proofErr w:type="spellEnd"/>
            <w:r>
              <w:rPr>
                <w:sz w:val="17"/>
                <w:szCs w:val="17"/>
                <w:lang w:val="fr-CA"/>
              </w:rPr>
              <w:t xml:space="preserve"> — planification de l’arrêt et de la mise hors service de </w:t>
            </w:r>
            <w:proofErr w:type="spellStart"/>
            <w:r>
              <w:rPr>
                <w:sz w:val="17"/>
                <w:szCs w:val="17"/>
                <w:lang w:val="fr-CA"/>
              </w:rPr>
              <w:t>Boundary</w:t>
            </w:r>
            <w:proofErr w:type="spellEnd"/>
            <w:r>
              <w:rPr>
                <w:sz w:val="17"/>
                <w:szCs w:val="17"/>
                <w:lang w:val="fr-CA"/>
              </w:rPr>
              <w:t xml:space="preserve"> Dam, 2020</w:t>
            </w:r>
          </w:p>
        </w:tc>
      </w:tr>
      <w:tr w:rsidR="006774F4" w:rsidRPr="006774F4" w14:paraId="40D35256"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8744A6" w14:textId="77777777" w:rsidR="006774F4" w:rsidRDefault="006774F4" w:rsidP="00AA5586">
            <w:pPr>
              <w:spacing w:after="0" w:line="254" w:lineRule="auto"/>
              <w:jc w:val="center"/>
              <w:rPr>
                <w:b/>
                <w:bCs/>
                <w:sz w:val="17"/>
                <w:szCs w:val="17"/>
              </w:rPr>
            </w:pPr>
            <w:r>
              <w:rPr>
                <w:b/>
                <w:bCs/>
                <w:sz w:val="17"/>
                <w:szCs w:val="17"/>
              </w:rPr>
              <w:lastRenderedPageBreak/>
              <w:t>15</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618047" w14:textId="77777777" w:rsidR="006774F4" w:rsidRPr="006774F4" w:rsidRDefault="006774F4" w:rsidP="00AA5586">
            <w:pPr>
              <w:spacing w:after="0" w:line="254" w:lineRule="auto"/>
              <w:rPr>
                <w:lang w:val="fr-FR"/>
              </w:rPr>
            </w:pPr>
            <w:r>
              <w:rPr>
                <w:sz w:val="17"/>
                <w:szCs w:val="17"/>
                <w:lang w:val="fr-CA"/>
              </w:rPr>
              <w:t>Bureau du vérificateur général du Canada, rapport à l’Assemblée législative du Nunavut</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82F3E4" w14:textId="77777777" w:rsidR="006774F4" w:rsidRPr="006774F4" w:rsidRDefault="006774F4" w:rsidP="00AA5586">
            <w:pPr>
              <w:spacing w:after="0" w:line="254" w:lineRule="auto"/>
              <w:rPr>
                <w:lang w:val="fr-FR"/>
              </w:rPr>
            </w:pPr>
            <w:r>
              <w:rPr>
                <w:sz w:val="17"/>
                <w:szCs w:val="17"/>
                <w:lang w:val="fr-CA"/>
              </w:rPr>
              <w:t>Rapport du vérificateur général du Canada à l’Assemblée législative du Nunavut — Logements sociaux au Nunavut, 2025</w:t>
            </w:r>
          </w:p>
        </w:tc>
      </w:tr>
    </w:tbl>
    <w:p w14:paraId="060A8549" w14:textId="77777777" w:rsidR="006774F4" w:rsidRDefault="006774F4" w:rsidP="006774F4">
      <w:pPr>
        <w:pStyle w:val="Heading2"/>
      </w:pPr>
      <w:bookmarkStart w:id="234" w:name="__RefHeading___Toc5027_3048004937"/>
      <w:bookmarkStart w:id="235" w:name="_Toc239750755"/>
      <w:bookmarkEnd w:id="234"/>
      <w:r>
        <w:rPr>
          <w:lang w:val="fr-CA"/>
        </w:rPr>
        <w:t>Les cinq comparateurs internationaux</w:t>
      </w:r>
      <w:bookmarkEnd w:id="235"/>
    </w:p>
    <w:tbl>
      <w:tblPr>
        <w:tblW w:w="10240" w:type="dxa"/>
        <w:tblLayout w:type="fixed"/>
        <w:tblCellMar>
          <w:top w:w="75" w:type="dxa"/>
          <w:left w:w="110" w:type="dxa"/>
          <w:bottom w:w="75" w:type="dxa"/>
          <w:right w:w="110" w:type="dxa"/>
        </w:tblCellMar>
        <w:tblLook w:val="0000" w:firstRow="0" w:lastRow="0" w:firstColumn="0" w:lastColumn="0" w:noHBand="0" w:noVBand="0"/>
      </w:tblPr>
      <w:tblGrid>
        <w:gridCol w:w="498"/>
        <w:gridCol w:w="3500"/>
        <w:gridCol w:w="6242"/>
      </w:tblGrid>
      <w:tr w:rsidR="006774F4" w14:paraId="1151D8FD" w14:textId="77777777" w:rsidTr="00AA5586">
        <w:trPr>
          <w:cantSplit/>
          <w:tblHeader/>
        </w:trPr>
        <w:tc>
          <w:tcPr>
            <w:tcW w:w="498" w:type="dxa"/>
            <w:tcBorders>
              <w:bottom w:val="single" w:sz="4" w:space="0" w:color="000000"/>
            </w:tcBorders>
            <w:shd w:val="clear" w:color="auto" w:fill="1B3A6B"/>
          </w:tcPr>
          <w:p w14:paraId="5CA80567" w14:textId="77777777" w:rsidR="006774F4" w:rsidRDefault="006774F4" w:rsidP="00AA5586">
            <w:pPr>
              <w:spacing w:after="0" w:line="254" w:lineRule="auto"/>
              <w:jc w:val="center"/>
            </w:pPr>
            <w:r>
              <w:rPr>
                <w:b/>
                <w:bCs/>
                <w:caps/>
                <w:color w:val="FFFFFF"/>
                <w:spacing w:val="16"/>
                <w:sz w:val="17"/>
                <w:szCs w:val="17"/>
              </w:rPr>
              <w:t>#</w:t>
            </w:r>
          </w:p>
        </w:tc>
        <w:tc>
          <w:tcPr>
            <w:tcW w:w="3500" w:type="dxa"/>
            <w:tcBorders>
              <w:bottom w:val="single" w:sz="4" w:space="0" w:color="000000"/>
            </w:tcBorders>
            <w:shd w:val="clear" w:color="auto" w:fill="1B3A6B"/>
          </w:tcPr>
          <w:p w14:paraId="34E42FFD" w14:textId="77777777" w:rsidR="006774F4" w:rsidRDefault="006774F4" w:rsidP="00AA5586">
            <w:pPr>
              <w:spacing w:after="0" w:line="254" w:lineRule="auto"/>
              <w:jc w:val="center"/>
            </w:pPr>
            <w:r>
              <w:rPr>
                <w:b/>
                <w:bCs/>
                <w:caps/>
                <w:color w:val="FFFFFF"/>
                <w:spacing w:val="16"/>
                <w:sz w:val="17"/>
                <w:szCs w:val="17"/>
                <w:lang w:val="fr-CA"/>
              </w:rPr>
              <w:t>Organisme émetteur</w:t>
            </w:r>
          </w:p>
        </w:tc>
        <w:tc>
          <w:tcPr>
            <w:tcW w:w="6242" w:type="dxa"/>
            <w:tcBorders>
              <w:bottom w:val="single" w:sz="4" w:space="0" w:color="000000"/>
            </w:tcBorders>
            <w:shd w:val="clear" w:color="auto" w:fill="1B3A6B"/>
          </w:tcPr>
          <w:p w14:paraId="3111C225" w14:textId="77777777" w:rsidR="006774F4" w:rsidRDefault="006774F4" w:rsidP="00AA5586">
            <w:pPr>
              <w:spacing w:after="0" w:line="254" w:lineRule="auto"/>
              <w:jc w:val="center"/>
            </w:pPr>
            <w:r>
              <w:rPr>
                <w:b/>
                <w:bCs/>
                <w:caps/>
                <w:color w:val="FFFFFF"/>
                <w:spacing w:val="16"/>
                <w:sz w:val="17"/>
                <w:szCs w:val="17"/>
                <w:lang w:val="fr-CA"/>
              </w:rPr>
              <w:t>Rapport</w:t>
            </w:r>
          </w:p>
        </w:tc>
      </w:tr>
      <w:tr w:rsidR="006774F4" w14:paraId="553AE57C"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FE29B2" w14:textId="77777777" w:rsidR="006774F4" w:rsidRDefault="006774F4" w:rsidP="00AA5586">
            <w:pPr>
              <w:spacing w:after="0" w:line="254" w:lineRule="auto"/>
              <w:jc w:val="center"/>
              <w:rPr>
                <w:b/>
                <w:bCs/>
                <w:sz w:val="17"/>
                <w:szCs w:val="17"/>
              </w:rPr>
            </w:pPr>
            <w:r>
              <w:rPr>
                <w:b/>
                <w:bCs/>
                <w:sz w:val="17"/>
                <w:szCs w:val="17"/>
              </w:rPr>
              <w:t>1</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924597" w14:textId="77777777" w:rsidR="006774F4" w:rsidRPr="006774F4" w:rsidRDefault="006774F4" w:rsidP="00AA5586">
            <w:pPr>
              <w:spacing w:after="0" w:line="254" w:lineRule="auto"/>
              <w:rPr>
                <w:lang w:val="fr-FR"/>
              </w:rPr>
            </w:pPr>
            <w:r>
              <w:rPr>
                <w:sz w:val="17"/>
                <w:szCs w:val="17"/>
                <w:lang w:val="fr-CA"/>
              </w:rPr>
              <w:t xml:space="preserve">Edinburgh Tram </w:t>
            </w:r>
            <w:proofErr w:type="spellStart"/>
            <w:r>
              <w:rPr>
                <w:sz w:val="17"/>
                <w:szCs w:val="17"/>
                <w:lang w:val="fr-CA"/>
              </w:rPr>
              <w:t>Inquiry</w:t>
            </w:r>
            <w:proofErr w:type="spellEnd"/>
            <w:r>
              <w:rPr>
                <w:sz w:val="17"/>
                <w:szCs w:val="17"/>
                <w:lang w:val="fr-CA"/>
              </w:rPr>
              <w:t>, présidée par Lord Hardie</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8486F9" w14:textId="77777777" w:rsidR="006774F4" w:rsidRDefault="006774F4" w:rsidP="00AA5586">
            <w:pPr>
              <w:spacing w:after="0" w:line="254" w:lineRule="auto"/>
            </w:pPr>
            <w:r>
              <w:rPr>
                <w:sz w:val="17"/>
                <w:szCs w:val="17"/>
                <w:lang w:val="fr-CA"/>
              </w:rPr>
              <w:t>Tramway d’Édimbourg, 2023</w:t>
            </w:r>
          </w:p>
        </w:tc>
      </w:tr>
      <w:tr w:rsidR="006774F4" w14:paraId="43C5D9E4"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4F829698" w14:textId="77777777" w:rsidR="006774F4" w:rsidRDefault="006774F4" w:rsidP="00AA5586">
            <w:pPr>
              <w:spacing w:after="0" w:line="254" w:lineRule="auto"/>
              <w:jc w:val="center"/>
              <w:rPr>
                <w:b/>
                <w:bCs/>
                <w:sz w:val="17"/>
                <w:szCs w:val="17"/>
              </w:rPr>
            </w:pPr>
            <w:r>
              <w:rPr>
                <w:b/>
                <w:bCs/>
                <w:sz w:val="17"/>
                <w:szCs w:val="17"/>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5FD8292C" w14:textId="77777777" w:rsidR="006774F4" w:rsidRDefault="006774F4" w:rsidP="00AA5586">
            <w:pPr>
              <w:spacing w:after="0" w:line="254" w:lineRule="auto"/>
            </w:pPr>
            <w:r>
              <w:rPr>
                <w:sz w:val="17"/>
                <w:szCs w:val="17"/>
                <w:lang w:val="fr-CA"/>
              </w:rPr>
              <w:t>National Audit Office</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02B062AB" w14:textId="77777777" w:rsidR="006774F4" w:rsidRDefault="006774F4" w:rsidP="00AA5586">
            <w:pPr>
              <w:spacing w:after="0" w:line="254" w:lineRule="auto"/>
            </w:pPr>
            <w:r>
              <w:rPr>
                <w:sz w:val="17"/>
                <w:szCs w:val="17"/>
                <w:lang w:val="fr-CA"/>
              </w:rPr>
              <w:t>Bâtiments scolaires en Angleterre, 2023</w:t>
            </w:r>
          </w:p>
        </w:tc>
      </w:tr>
      <w:tr w:rsidR="006774F4" w:rsidRPr="006774F4" w14:paraId="5E5791FF"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44DA46" w14:textId="77777777" w:rsidR="006774F4" w:rsidRDefault="006774F4" w:rsidP="00AA5586">
            <w:pPr>
              <w:spacing w:after="0" w:line="254" w:lineRule="auto"/>
              <w:jc w:val="center"/>
              <w:rPr>
                <w:b/>
                <w:bCs/>
                <w:sz w:val="17"/>
                <w:szCs w:val="17"/>
              </w:rPr>
            </w:pPr>
            <w:r>
              <w:rPr>
                <w:b/>
                <w:bCs/>
                <w:sz w:val="17"/>
                <w:szCs w:val="17"/>
              </w:rPr>
              <w:t>3</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765CC3" w14:textId="77777777" w:rsidR="006774F4" w:rsidRDefault="006774F4" w:rsidP="00AA5586">
            <w:pPr>
              <w:spacing w:after="0" w:line="254" w:lineRule="auto"/>
            </w:pPr>
            <w:r w:rsidRPr="006774F4">
              <w:rPr>
                <w:sz w:val="17"/>
                <w:szCs w:val="17"/>
                <w:lang w:val="en-US"/>
              </w:rPr>
              <w:t>Auditor-General for New South Wales</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17A8E" w14:textId="77777777" w:rsidR="006774F4" w:rsidRPr="006774F4" w:rsidRDefault="006774F4" w:rsidP="00AA5586">
            <w:pPr>
              <w:spacing w:after="0" w:line="254" w:lineRule="auto"/>
              <w:rPr>
                <w:lang w:val="fr-FR"/>
              </w:rPr>
            </w:pPr>
            <w:r>
              <w:rPr>
                <w:sz w:val="17"/>
                <w:szCs w:val="17"/>
                <w:lang w:val="fr-CA"/>
              </w:rPr>
              <w:t>Train léger du centre-ville et du Sud-Est de Sydney, 2020</w:t>
            </w:r>
          </w:p>
        </w:tc>
      </w:tr>
      <w:tr w:rsidR="006774F4" w:rsidRPr="006774F4" w14:paraId="44EDF484" w14:textId="77777777" w:rsidTr="00AA5586">
        <w:trPr>
          <w:cantSplit/>
        </w:trPr>
        <w:tc>
          <w:tcPr>
            <w:tcW w:w="498"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088B994" w14:textId="77777777" w:rsidR="006774F4" w:rsidRDefault="006774F4" w:rsidP="00AA5586">
            <w:pPr>
              <w:spacing w:after="0" w:line="254" w:lineRule="auto"/>
              <w:jc w:val="center"/>
              <w:rPr>
                <w:b/>
                <w:bCs/>
                <w:sz w:val="17"/>
                <w:szCs w:val="17"/>
              </w:rPr>
            </w:pPr>
            <w:r>
              <w:rPr>
                <w:b/>
                <w:bCs/>
                <w:sz w:val="17"/>
                <w:szCs w:val="17"/>
              </w:rPr>
              <w:t>4</w:t>
            </w:r>
          </w:p>
        </w:tc>
        <w:tc>
          <w:tcPr>
            <w:tcW w:w="3500"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784449B7" w14:textId="77777777" w:rsidR="006774F4" w:rsidRDefault="006774F4" w:rsidP="00AA5586">
            <w:pPr>
              <w:spacing w:after="0" w:line="254" w:lineRule="auto"/>
            </w:pPr>
            <w:proofErr w:type="spellStart"/>
            <w:r>
              <w:rPr>
                <w:sz w:val="17"/>
                <w:szCs w:val="17"/>
                <w:lang w:val="fr-CA"/>
              </w:rPr>
              <w:t>Government</w:t>
            </w:r>
            <w:proofErr w:type="spellEnd"/>
            <w:r>
              <w:rPr>
                <w:sz w:val="17"/>
                <w:szCs w:val="17"/>
                <w:lang w:val="fr-CA"/>
              </w:rPr>
              <w:t xml:space="preserve"> </w:t>
            </w:r>
            <w:proofErr w:type="spellStart"/>
            <w:r>
              <w:rPr>
                <w:sz w:val="17"/>
                <w:szCs w:val="17"/>
                <w:lang w:val="fr-CA"/>
              </w:rPr>
              <w:t>Accountability</w:t>
            </w:r>
            <w:proofErr w:type="spellEnd"/>
            <w:r>
              <w:rPr>
                <w:sz w:val="17"/>
                <w:szCs w:val="17"/>
                <w:lang w:val="fr-CA"/>
              </w:rPr>
              <w:t xml:space="preserve"> Office</w:t>
            </w:r>
          </w:p>
        </w:tc>
        <w:tc>
          <w:tcPr>
            <w:tcW w:w="6242" w:type="dxa"/>
            <w:tcBorders>
              <w:top w:val="single" w:sz="4" w:space="0" w:color="000000"/>
              <w:left w:val="single" w:sz="4" w:space="0" w:color="000000"/>
              <w:bottom w:val="single" w:sz="4" w:space="0" w:color="000000"/>
              <w:right w:val="single" w:sz="4" w:space="0" w:color="000000"/>
            </w:tcBorders>
            <w:shd w:val="clear" w:color="auto" w:fill="F2F4F7"/>
            <w:vAlign w:val="center"/>
          </w:tcPr>
          <w:p w14:paraId="6ECCE159" w14:textId="77777777" w:rsidR="006774F4" w:rsidRPr="006774F4" w:rsidRDefault="006774F4" w:rsidP="00AA5586">
            <w:pPr>
              <w:spacing w:after="0" w:line="254" w:lineRule="auto"/>
              <w:rPr>
                <w:lang w:val="fr-FR"/>
              </w:rPr>
            </w:pPr>
            <w:r>
              <w:rPr>
                <w:sz w:val="17"/>
                <w:szCs w:val="17"/>
                <w:lang w:val="fr-CA"/>
              </w:rPr>
              <w:t>Biens immobiliers fédéraux des États-Unis, 2025</w:t>
            </w:r>
          </w:p>
        </w:tc>
      </w:tr>
      <w:tr w:rsidR="006774F4" w14:paraId="095E65FD" w14:textId="77777777" w:rsidTr="00AA5586">
        <w:trPr>
          <w:cantSplit/>
          <w:trHeight w:val="300"/>
        </w:trPr>
        <w:tc>
          <w:tcPr>
            <w:tcW w:w="4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CA360E" w14:textId="77777777" w:rsidR="006774F4" w:rsidRDefault="006774F4" w:rsidP="00AA5586">
            <w:pPr>
              <w:spacing w:after="0" w:line="254" w:lineRule="auto"/>
              <w:jc w:val="center"/>
              <w:rPr>
                <w:b/>
                <w:bCs/>
                <w:sz w:val="17"/>
                <w:szCs w:val="17"/>
              </w:rPr>
            </w:pPr>
            <w:r>
              <w:rPr>
                <w:b/>
                <w:bCs/>
                <w:sz w:val="17"/>
                <w:szCs w:val="17"/>
              </w:rPr>
              <w:t>5</w:t>
            </w:r>
          </w:p>
        </w:tc>
        <w:tc>
          <w:tcPr>
            <w:tcW w:w="350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88A994" w14:textId="77777777" w:rsidR="006774F4" w:rsidRPr="006774F4" w:rsidRDefault="006774F4" w:rsidP="00AA5586">
            <w:pPr>
              <w:spacing w:after="0" w:line="254" w:lineRule="auto"/>
              <w:rPr>
                <w:lang w:val="fr-FR"/>
              </w:rPr>
            </w:pPr>
            <w:r>
              <w:rPr>
                <w:sz w:val="17"/>
                <w:szCs w:val="17"/>
                <w:lang w:val="fr-CA"/>
              </w:rPr>
              <w:t>PricewaterhouseCoopers, mandaté par le gouvernement de l’Irlande</w:t>
            </w:r>
          </w:p>
        </w:tc>
        <w:tc>
          <w:tcPr>
            <w:tcW w:w="62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DE5B39" w14:textId="77777777" w:rsidR="006774F4" w:rsidRDefault="006774F4" w:rsidP="00AA5586">
            <w:pPr>
              <w:spacing w:after="0" w:line="254" w:lineRule="auto"/>
            </w:pPr>
            <w:r>
              <w:rPr>
                <w:sz w:val="17"/>
                <w:szCs w:val="17"/>
                <w:lang w:val="fr-CA"/>
              </w:rPr>
              <w:t xml:space="preserve">National </w:t>
            </w:r>
            <w:proofErr w:type="spellStart"/>
            <w:r>
              <w:rPr>
                <w:sz w:val="17"/>
                <w:szCs w:val="17"/>
                <w:lang w:val="fr-CA"/>
              </w:rPr>
              <w:t>Children’s</w:t>
            </w:r>
            <w:proofErr w:type="spellEnd"/>
            <w:r>
              <w:rPr>
                <w:sz w:val="17"/>
                <w:szCs w:val="17"/>
                <w:lang w:val="fr-CA"/>
              </w:rPr>
              <w:t xml:space="preserve"> Hospital, Dublin, 2019</w:t>
            </w:r>
          </w:p>
        </w:tc>
      </w:tr>
    </w:tbl>
    <w:p w14:paraId="057B4AF1" w14:textId="77777777" w:rsidR="006774F4" w:rsidRDefault="006774F4" w:rsidP="006774F4">
      <w:pPr>
        <w:pStyle w:val="Heading2"/>
      </w:pPr>
      <w:bookmarkStart w:id="236" w:name="__RefHeading___Toc5029_3048004937"/>
      <w:bookmarkStart w:id="237" w:name="_Toc239750756"/>
      <w:bookmarkEnd w:id="236"/>
      <w:r>
        <w:rPr>
          <w:lang w:val="fr-CA"/>
        </w:rPr>
        <w:t>Le registre lui-même</w:t>
      </w:r>
      <w:bookmarkEnd w:id="237"/>
    </w:p>
    <w:p w14:paraId="65F6C395" w14:textId="77777777" w:rsidR="006774F4" w:rsidRPr="006774F4" w:rsidRDefault="006774F4" w:rsidP="006774F4">
      <w:pPr>
        <w:rPr>
          <w:lang w:val="fr-FR"/>
        </w:rPr>
      </w:pPr>
      <w:r w:rsidRPr="006774F4">
        <w:rPr>
          <w:lang w:val="en-US"/>
        </w:rPr>
        <w:t xml:space="preserve">Clarity Builders, Public Inquiries and Audits Register, </w:t>
      </w:r>
      <w:proofErr w:type="spellStart"/>
      <w:r w:rsidRPr="006774F4">
        <w:rPr>
          <w:lang w:val="en-US"/>
        </w:rPr>
        <w:t>août</w:t>
      </w:r>
      <w:proofErr w:type="spellEnd"/>
      <w:r w:rsidRPr="006774F4">
        <w:rPr>
          <w:lang w:val="en-US"/>
        </w:rPr>
        <w:t xml:space="preserve"> 2026. </w:t>
      </w:r>
      <w:r>
        <w:rPr>
          <w:lang w:val="fr-CA"/>
        </w:rPr>
        <w:t>130 rapports codés, dont 110 canadiens et 20 internationaux. Registre constitué de juin à août 2026; un échantillon a fait l’objet d’un double codage indépendant, avec un coefficient kappa de 0,92. Le registre est conservé à l’interne et peut être mis à la disposition des clients pour examen sur demande.</w:t>
      </w:r>
    </w:p>
    <w:p w14:paraId="08D189BD" w14:textId="77777777" w:rsidR="00E56B4C" w:rsidRPr="006774F4" w:rsidRDefault="00E56B4C">
      <w:pPr>
        <w:rPr>
          <w:lang w:val="fr-FR"/>
        </w:rPr>
      </w:pPr>
    </w:p>
    <w:sectPr w:rsidR="00E56B4C" w:rsidRPr="006774F4" w:rsidSect="006774F4">
      <w:headerReference w:type="default" r:id="rId11"/>
      <w:footerReference w:type="default" r:id="rId12"/>
      <w:headerReference w:type="first" r:id="rId13"/>
      <w:footerReference w:type="first" r:id="rId14"/>
      <w:pgSz w:w="12240" w:h="15840"/>
      <w:pgMar w:top="1000" w:right="1000" w:bottom="1276" w:left="1000"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428" w14:textId="77777777" w:rsidR="00E423EB" w:rsidRDefault="00E423EB" w:rsidP="006774F4">
      <w:pPr>
        <w:spacing w:after="0" w:line="240" w:lineRule="auto"/>
      </w:pPr>
      <w:r>
        <w:separator/>
      </w:r>
    </w:p>
  </w:endnote>
  <w:endnote w:type="continuationSeparator" w:id="0">
    <w:p w14:paraId="088F29CD" w14:textId="77777777" w:rsidR="00E423EB" w:rsidRDefault="00E423EB" w:rsidP="00677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EB72" w14:textId="7BD2408F" w:rsidR="006774F4" w:rsidRPr="006774F4" w:rsidRDefault="006774F4">
    <w:pPr>
      <w:rPr>
        <w:lang w:val="fr-FR"/>
      </w:rPr>
    </w:pPr>
    <w:r>
      <w:rPr>
        <w:color w:val="5A7A9A"/>
        <w:sz w:val="16"/>
        <w:szCs w:val="16"/>
        <w:lang w:val="fr-CA"/>
      </w:rPr>
      <w:t xml:space="preserve">Clarity </w:t>
    </w:r>
    <w:proofErr w:type="spellStart"/>
    <w:r>
      <w:rPr>
        <w:color w:val="5A7A9A"/>
        <w:sz w:val="16"/>
        <w:szCs w:val="16"/>
        <w:lang w:val="fr-CA"/>
      </w:rPr>
      <w:t>Builders</w:t>
    </w:r>
    <w:proofErr w:type="spellEnd"/>
    <w:r>
      <w:rPr>
        <w:color w:val="5A7A9A"/>
        <w:sz w:val="16"/>
        <w:szCs w:val="16"/>
        <w:lang w:val="fr-CA"/>
      </w:rPr>
      <w:t xml:space="preserve"> </w:t>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r>
    <w:r>
      <w:rPr>
        <w:color w:val="5A7A9A"/>
        <w:sz w:val="16"/>
        <w:szCs w:val="16"/>
        <w:lang w:val="fr-CA"/>
      </w:rPr>
      <w:tab/>
      <w:t xml:space="preserve">  </w:t>
    </w:r>
    <w:r>
      <w:rPr>
        <w:color w:val="5A7A9A"/>
        <w:sz w:val="16"/>
        <w:szCs w:val="16"/>
        <w:lang w:val="fr-CA"/>
      </w:rPr>
      <w:fldChar w:fldCharType="begin"/>
    </w:r>
    <w:r>
      <w:rPr>
        <w:color w:val="5A7A9A"/>
        <w:sz w:val="16"/>
        <w:szCs w:val="16"/>
        <w:lang w:val="fr-CA"/>
      </w:rPr>
      <w:instrText xml:space="preserve"> PAGE </w:instrText>
    </w:r>
    <w:r>
      <w:rPr>
        <w:color w:val="5A7A9A"/>
        <w:sz w:val="16"/>
        <w:szCs w:val="16"/>
        <w:lang w:val="fr-CA"/>
      </w:rPr>
      <w:fldChar w:fldCharType="separate"/>
    </w:r>
    <w:r>
      <w:rPr>
        <w:color w:val="5A7A9A"/>
        <w:sz w:val="16"/>
        <w:szCs w:val="16"/>
        <w:lang w:val="fr-CA"/>
      </w:rPr>
      <w:t>60</w:t>
    </w:r>
    <w:r>
      <w:rPr>
        <w:color w:val="5A7A9A"/>
        <w:sz w:val="16"/>
        <w:szCs w:val="16"/>
        <w:lang w:val="fr-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30" w:type="dxa"/>
      <w:tblLayout w:type="fixed"/>
      <w:tblLook w:val="06A0" w:firstRow="1" w:lastRow="0" w:firstColumn="1" w:lastColumn="0" w:noHBand="1" w:noVBand="1"/>
    </w:tblPr>
    <w:tblGrid>
      <w:gridCol w:w="3410"/>
      <w:gridCol w:w="3410"/>
      <w:gridCol w:w="3410"/>
    </w:tblGrid>
    <w:tr w:rsidR="006774F4" w14:paraId="71152F31" w14:textId="77777777">
      <w:trPr>
        <w:trHeight w:val="300"/>
      </w:trPr>
      <w:tc>
        <w:tcPr>
          <w:tcW w:w="3410" w:type="dxa"/>
        </w:tcPr>
        <w:p w14:paraId="77E4E54F" w14:textId="77777777" w:rsidR="006774F4" w:rsidRDefault="006774F4">
          <w:pPr>
            <w:pStyle w:val="Header"/>
            <w:ind w:left="-115"/>
          </w:pPr>
        </w:p>
      </w:tc>
      <w:tc>
        <w:tcPr>
          <w:tcW w:w="3410" w:type="dxa"/>
        </w:tcPr>
        <w:p w14:paraId="233DFC4A" w14:textId="77777777" w:rsidR="006774F4" w:rsidRDefault="006774F4">
          <w:pPr>
            <w:pStyle w:val="Header"/>
            <w:jc w:val="center"/>
          </w:pPr>
        </w:p>
      </w:tc>
      <w:tc>
        <w:tcPr>
          <w:tcW w:w="3410" w:type="dxa"/>
        </w:tcPr>
        <w:p w14:paraId="1C046EA3" w14:textId="77777777" w:rsidR="006774F4" w:rsidRDefault="006774F4">
          <w:pPr>
            <w:pStyle w:val="Header"/>
            <w:ind w:right="-115"/>
            <w:jc w:val="right"/>
          </w:pPr>
        </w:p>
      </w:tc>
    </w:tr>
  </w:tbl>
  <w:p w14:paraId="54C04BAF" w14:textId="77777777" w:rsidR="006774F4" w:rsidRDefault="00677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CD835" w14:textId="77777777" w:rsidR="00E423EB" w:rsidRDefault="00E423EB" w:rsidP="006774F4">
      <w:pPr>
        <w:spacing w:after="0" w:line="240" w:lineRule="auto"/>
      </w:pPr>
      <w:r>
        <w:separator/>
      </w:r>
    </w:p>
  </w:footnote>
  <w:footnote w:type="continuationSeparator" w:id="0">
    <w:p w14:paraId="2BE8F002" w14:textId="77777777" w:rsidR="00E423EB" w:rsidRDefault="00E423EB" w:rsidP="006774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30" w:type="dxa"/>
      <w:tblLayout w:type="fixed"/>
      <w:tblLook w:val="06A0" w:firstRow="1" w:lastRow="0" w:firstColumn="1" w:lastColumn="0" w:noHBand="1" w:noVBand="1"/>
    </w:tblPr>
    <w:tblGrid>
      <w:gridCol w:w="3410"/>
      <w:gridCol w:w="3410"/>
      <w:gridCol w:w="3410"/>
    </w:tblGrid>
    <w:tr w:rsidR="006774F4" w14:paraId="5A817C84" w14:textId="77777777">
      <w:trPr>
        <w:trHeight w:val="300"/>
      </w:trPr>
      <w:tc>
        <w:tcPr>
          <w:tcW w:w="3410" w:type="dxa"/>
        </w:tcPr>
        <w:p w14:paraId="644578AD" w14:textId="77777777" w:rsidR="006774F4" w:rsidRDefault="006774F4">
          <w:pPr>
            <w:pStyle w:val="Header"/>
            <w:ind w:left="-115"/>
          </w:pPr>
        </w:p>
      </w:tc>
      <w:tc>
        <w:tcPr>
          <w:tcW w:w="3410" w:type="dxa"/>
        </w:tcPr>
        <w:p w14:paraId="58337FF4" w14:textId="77777777" w:rsidR="006774F4" w:rsidRDefault="006774F4">
          <w:pPr>
            <w:pStyle w:val="Header"/>
            <w:jc w:val="center"/>
          </w:pPr>
        </w:p>
      </w:tc>
      <w:tc>
        <w:tcPr>
          <w:tcW w:w="3410" w:type="dxa"/>
        </w:tcPr>
        <w:p w14:paraId="4AC09E30" w14:textId="77777777" w:rsidR="006774F4" w:rsidRDefault="006774F4">
          <w:pPr>
            <w:pStyle w:val="Header"/>
            <w:ind w:right="-115"/>
            <w:jc w:val="right"/>
          </w:pPr>
        </w:p>
      </w:tc>
    </w:tr>
  </w:tbl>
  <w:p w14:paraId="3492AF11" w14:textId="77777777" w:rsidR="006774F4" w:rsidRDefault="00677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30" w:type="dxa"/>
      <w:tblLayout w:type="fixed"/>
      <w:tblLook w:val="06A0" w:firstRow="1" w:lastRow="0" w:firstColumn="1" w:lastColumn="0" w:noHBand="1" w:noVBand="1"/>
    </w:tblPr>
    <w:tblGrid>
      <w:gridCol w:w="3410"/>
      <w:gridCol w:w="3410"/>
      <w:gridCol w:w="3410"/>
    </w:tblGrid>
    <w:tr w:rsidR="006774F4" w14:paraId="58EA7BED" w14:textId="77777777">
      <w:trPr>
        <w:trHeight w:val="300"/>
      </w:trPr>
      <w:tc>
        <w:tcPr>
          <w:tcW w:w="3410" w:type="dxa"/>
        </w:tcPr>
        <w:p w14:paraId="3CD113D8" w14:textId="77777777" w:rsidR="006774F4" w:rsidRDefault="006774F4">
          <w:pPr>
            <w:pStyle w:val="Header"/>
            <w:ind w:left="-115"/>
          </w:pPr>
        </w:p>
      </w:tc>
      <w:tc>
        <w:tcPr>
          <w:tcW w:w="3410" w:type="dxa"/>
        </w:tcPr>
        <w:p w14:paraId="3BF31245" w14:textId="77777777" w:rsidR="006774F4" w:rsidRDefault="006774F4">
          <w:pPr>
            <w:pStyle w:val="Header"/>
            <w:jc w:val="center"/>
          </w:pPr>
        </w:p>
      </w:tc>
      <w:tc>
        <w:tcPr>
          <w:tcW w:w="3410" w:type="dxa"/>
        </w:tcPr>
        <w:p w14:paraId="7710C1DF" w14:textId="77777777" w:rsidR="006774F4" w:rsidRDefault="006774F4">
          <w:pPr>
            <w:pStyle w:val="Header"/>
            <w:ind w:right="-115"/>
            <w:jc w:val="right"/>
          </w:pPr>
        </w:p>
      </w:tc>
    </w:tr>
  </w:tbl>
  <w:p w14:paraId="36A10CF0" w14:textId="77777777" w:rsidR="006774F4" w:rsidRDefault="00677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BBE"/>
    <w:multiLevelType w:val="multilevel"/>
    <w:tmpl w:val="A89E68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7BF4E9F"/>
    <w:multiLevelType w:val="multilevel"/>
    <w:tmpl w:val="F76A26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7F1128"/>
    <w:multiLevelType w:val="multilevel"/>
    <w:tmpl w:val="ACDA9C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4317D8"/>
    <w:multiLevelType w:val="multilevel"/>
    <w:tmpl w:val="F67A60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1397764"/>
    <w:multiLevelType w:val="multilevel"/>
    <w:tmpl w:val="1F00A7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5510237"/>
    <w:multiLevelType w:val="multilevel"/>
    <w:tmpl w:val="3F2E42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16DC1FAC"/>
    <w:multiLevelType w:val="multilevel"/>
    <w:tmpl w:val="779040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96D137A"/>
    <w:multiLevelType w:val="multilevel"/>
    <w:tmpl w:val="B94883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AD502E9"/>
    <w:multiLevelType w:val="multilevel"/>
    <w:tmpl w:val="AA006F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D28494D"/>
    <w:multiLevelType w:val="multilevel"/>
    <w:tmpl w:val="842AC8F6"/>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10" w15:restartNumberingAfterBreak="0">
    <w:nsid w:val="21197AA1"/>
    <w:multiLevelType w:val="multilevel"/>
    <w:tmpl w:val="A9C4665C"/>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11" w15:restartNumberingAfterBreak="0">
    <w:nsid w:val="237036EE"/>
    <w:multiLevelType w:val="multilevel"/>
    <w:tmpl w:val="2DFC72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3EF41FD"/>
    <w:multiLevelType w:val="multilevel"/>
    <w:tmpl w:val="A9C6B1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9CC2D09"/>
    <w:multiLevelType w:val="multilevel"/>
    <w:tmpl w:val="CC102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A121F18"/>
    <w:multiLevelType w:val="multilevel"/>
    <w:tmpl w:val="3AE6D488"/>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15" w15:restartNumberingAfterBreak="0">
    <w:nsid w:val="2CD77289"/>
    <w:multiLevelType w:val="multilevel"/>
    <w:tmpl w:val="8E549D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FAE5CDA"/>
    <w:multiLevelType w:val="multilevel"/>
    <w:tmpl w:val="AAFC17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5EA0A12"/>
    <w:multiLevelType w:val="multilevel"/>
    <w:tmpl w:val="03D204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DBE66C6"/>
    <w:multiLevelType w:val="multilevel"/>
    <w:tmpl w:val="EDC43B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F0E4B19"/>
    <w:multiLevelType w:val="multilevel"/>
    <w:tmpl w:val="6666E3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3F6546A6"/>
    <w:multiLevelType w:val="multilevel"/>
    <w:tmpl w:val="38CA2A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5A51EB3"/>
    <w:multiLevelType w:val="multilevel"/>
    <w:tmpl w:val="C6C4DB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86C12DB"/>
    <w:multiLevelType w:val="multilevel"/>
    <w:tmpl w:val="2452D8E0"/>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23" w15:restartNumberingAfterBreak="0">
    <w:nsid w:val="49B90E78"/>
    <w:multiLevelType w:val="multilevel"/>
    <w:tmpl w:val="7D5225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0563522"/>
    <w:multiLevelType w:val="multilevel"/>
    <w:tmpl w:val="320447C4"/>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25" w15:restartNumberingAfterBreak="0">
    <w:nsid w:val="50842228"/>
    <w:multiLevelType w:val="multilevel"/>
    <w:tmpl w:val="24D8EA9A"/>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26" w15:restartNumberingAfterBreak="0">
    <w:nsid w:val="50E36003"/>
    <w:multiLevelType w:val="multilevel"/>
    <w:tmpl w:val="203278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518B7D2A"/>
    <w:multiLevelType w:val="multilevel"/>
    <w:tmpl w:val="07C698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7DC5077"/>
    <w:multiLevelType w:val="multilevel"/>
    <w:tmpl w:val="5B4CDB30"/>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abstractNum w:abstractNumId="29" w15:restartNumberingAfterBreak="0">
    <w:nsid w:val="5A8B51DE"/>
    <w:multiLevelType w:val="multilevel"/>
    <w:tmpl w:val="DDAA6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C7C225B"/>
    <w:multiLevelType w:val="multilevel"/>
    <w:tmpl w:val="465480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DBF16BC"/>
    <w:multiLevelType w:val="multilevel"/>
    <w:tmpl w:val="BE1484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0454544"/>
    <w:multiLevelType w:val="multilevel"/>
    <w:tmpl w:val="126871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2033CD4"/>
    <w:multiLevelType w:val="multilevel"/>
    <w:tmpl w:val="93267F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779013CE"/>
    <w:multiLevelType w:val="multilevel"/>
    <w:tmpl w:val="F12E2B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B4731FA"/>
    <w:multiLevelType w:val="multilevel"/>
    <w:tmpl w:val="EC7E63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BE30841"/>
    <w:multiLevelType w:val="multilevel"/>
    <w:tmpl w:val="AEF814BE"/>
    <w:lvl w:ilvl="0">
      <w:start w:val="1"/>
      <w:numFmt w:val="bullet"/>
      <w:lvlText w:val=""/>
      <w:lvlJc w:val="left"/>
      <w:pPr>
        <w:tabs>
          <w:tab w:val="num" w:pos="0"/>
        </w:tabs>
        <w:ind w:left="860" w:hanging="360"/>
      </w:pPr>
      <w:rPr>
        <w:rFonts w:ascii="Symbol" w:hAnsi="Symbol" w:cs="Symbol" w:hint="default"/>
      </w:rPr>
    </w:lvl>
    <w:lvl w:ilvl="1">
      <w:start w:val="1"/>
      <w:numFmt w:val="bullet"/>
      <w:lvlText w:val="o"/>
      <w:lvlJc w:val="left"/>
      <w:pPr>
        <w:tabs>
          <w:tab w:val="num" w:pos="0"/>
        </w:tabs>
        <w:ind w:left="1580" w:hanging="360"/>
      </w:pPr>
      <w:rPr>
        <w:rFonts w:ascii="Courier New" w:hAnsi="Courier New" w:cs="Courier New" w:hint="default"/>
      </w:rPr>
    </w:lvl>
    <w:lvl w:ilvl="2">
      <w:start w:val="1"/>
      <w:numFmt w:val="bullet"/>
      <w:lvlText w:val=""/>
      <w:lvlJc w:val="left"/>
      <w:pPr>
        <w:tabs>
          <w:tab w:val="num" w:pos="0"/>
        </w:tabs>
        <w:ind w:left="2300" w:hanging="360"/>
      </w:pPr>
      <w:rPr>
        <w:rFonts w:ascii="Wingdings" w:hAnsi="Wingdings" w:cs="Wingdings" w:hint="default"/>
      </w:rPr>
    </w:lvl>
    <w:lvl w:ilvl="3">
      <w:start w:val="1"/>
      <w:numFmt w:val="bullet"/>
      <w:lvlText w:val=""/>
      <w:lvlJc w:val="left"/>
      <w:pPr>
        <w:tabs>
          <w:tab w:val="num" w:pos="0"/>
        </w:tabs>
        <w:ind w:left="3020" w:hanging="360"/>
      </w:pPr>
      <w:rPr>
        <w:rFonts w:ascii="Symbol" w:hAnsi="Symbol" w:cs="Symbol" w:hint="default"/>
      </w:rPr>
    </w:lvl>
    <w:lvl w:ilvl="4">
      <w:start w:val="1"/>
      <w:numFmt w:val="bullet"/>
      <w:lvlText w:val="o"/>
      <w:lvlJc w:val="left"/>
      <w:pPr>
        <w:tabs>
          <w:tab w:val="num" w:pos="0"/>
        </w:tabs>
        <w:ind w:left="3740" w:hanging="360"/>
      </w:pPr>
      <w:rPr>
        <w:rFonts w:ascii="Courier New" w:hAnsi="Courier New" w:cs="Courier New" w:hint="default"/>
      </w:rPr>
    </w:lvl>
    <w:lvl w:ilvl="5">
      <w:start w:val="1"/>
      <w:numFmt w:val="bullet"/>
      <w:lvlText w:val=""/>
      <w:lvlJc w:val="left"/>
      <w:pPr>
        <w:tabs>
          <w:tab w:val="num" w:pos="0"/>
        </w:tabs>
        <w:ind w:left="4460" w:hanging="360"/>
      </w:pPr>
      <w:rPr>
        <w:rFonts w:ascii="Wingdings" w:hAnsi="Wingdings" w:cs="Wingdings" w:hint="default"/>
      </w:rPr>
    </w:lvl>
    <w:lvl w:ilvl="6">
      <w:start w:val="1"/>
      <w:numFmt w:val="bullet"/>
      <w:lvlText w:val=""/>
      <w:lvlJc w:val="left"/>
      <w:pPr>
        <w:tabs>
          <w:tab w:val="num" w:pos="0"/>
        </w:tabs>
        <w:ind w:left="5180" w:hanging="360"/>
      </w:pPr>
      <w:rPr>
        <w:rFonts w:ascii="Symbol" w:hAnsi="Symbol" w:cs="Symbol" w:hint="default"/>
      </w:rPr>
    </w:lvl>
    <w:lvl w:ilvl="7">
      <w:start w:val="1"/>
      <w:numFmt w:val="bullet"/>
      <w:lvlText w:val="o"/>
      <w:lvlJc w:val="left"/>
      <w:pPr>
        <w:tabs>
          <w:tab w:val="num" w:pos="0"/>
        </w:tabs>
        <w:ind w:left="5900" w:hanging="360"/>
      </w:pPr>
      <w:rPr>
        <w:rFonts w:ascii="Courier New" w:hAnsi="Courier New" w:cs="Courier New" w:hint="default"/>
      </w:rPr>
    </w:lvl>
    <w:lvl w:ilvl="8">
      <w:start w:val="1"/>
      <w:numFmt w:val="bullet"/>
      <w:lvlText w:val=""/>
      <w:lvlJc w:val="left"/>
      <w:pPr>
        <w:tabs>
          <w:tab w:val="num" w:pos="0"/>
        </w:tabs>
        <w:ind w:left="6620" w:hanging="360"/>
      </w:pPr>
      <w:rPr>
        <w:rFonts w:ascii="Wingdings" w:hAnsi="Wingdings" w:cs="Wingdings" w:hint="default"/>
      </w:rPr>
    </w:lvl>
  </w:abstractNum>
  <w:num w:numId="1" w16cid:durableId="1481340186">
    <w:abstractNumId w:val="31"/>
  </w:num>
  <w:num w:numId="2" w16cid:durableId="1822186760">
    <w:abstractNumId w:val="26"/>
  </w:num>
  <w:num w:numId="3" w16cid:durableId="1058629314">
    <w:abstractNumId w:val="13"/>
  </w:num>
  <w:num w:numId="4" w16cid:durableId="260841204">
    <w:abstractNumId w:val="25"/>
  </w:num>
  <w:num w:numId="5" w16cid:durableId="1938173499">
    <w:abstractNumId w:val="33"/>
  </w:num>
  <w:num w:numId="6" w16cid:durableId="994408038">
    <w:abstractNumId w:val="30"/>
  </w:num>
  <w:num w:numId="7" w16cid:durableId="1464696480">
    <w:abstractNumId w:val="17"/>
  </w:num>
  <w:num w:numId="8" w16cid:durableId="358244058">
    <w:abstractNumId w:val="11"/>
  </w:num>
  <w:num w:numId="9" w16cid:durableId="2146004954">
    <w:abstractNumId w:val="28"/>
  </w:num>
  <w:num w:numId="10" w16cid:durableId="1371417688">
    <w:abstractNumId w:val="8"/>
  </w:num>
  <w:num w:numId="11" w16cid:durableId="878905423">
    <w:abstractNumId w:val="10"/>
  </w:num>
  <w:num w:numId="12" w16cid:durableId="1141575262">
    <w:abstractNumId w:val="32"/>
  </w:num>
  <w:num w:numId="13" w16cid:durableId="1503668300">
    <w:abstractNumId w:val="16"/>
  </w:num>
  <w:num w:numId="14" w16cid:durableId="1966620631">
    <w:abstractNumId w:val="6"/>
  </w:num>
  <w:num w:numId="15" w16cid:durableId="576943473">
    <w:abstractNumId w:val="4"/>
  </w:num>
  <w:num w:numId="16" w16cid:durableId="730928286">
    <w:abstractNumId w:val="7"/>
  </w:num>
  <w:num w:numId="17" w16cid:durableId="1007055356">
    <w:abstractNumId w:val="3"/>
  </w:num>
  <w:num w:numId="18" w16cid:durableId="1412772305">
    <w:abstractNumId w:val="19"/>
  </w:num>
  <w:num w:numId="19" w16cid:durableId="359621844">
    <w:abstractNumId w:val="36"/>
  </w:num>
  <w:num w:numId="20" w16cid:durableId="1597059034">
    <w:abstractNumId w:val="12"/>
  </w:num>
  <w:num w:numId="21" w16cid:durableId="1102456248">
    <w:abstractNumId w:val="20"/>
  </w:num>
  <w:num w:numId="22" w16cid:durableId="1525481999">
    <w:abstractNumId w:val="35"/>
  </w:num>
  <w:num w:numId="23" w16cid:durableId="1400128802">
    <w:abstractNumId w:val="9"/>
  </w:num>
  <w:num w:numId="24" w16cid:durableId="1560554806">
    <w:abstractNumId w:val="1"/>
  </w:num>
  <w:num w:numId="25" w16cid:durableId="710155461">
    <w:abstractNumId w:val="2"/>
  </w:num>
  <w:num w:numId="26" w16cid:durableId="542330945">
    <w:abstractNumId w:val="23"/>
  </w:num>
  <w:num w:numId="27" w16cid:durableId="840237191">
    <w:abstractNumId w:val="15"/>
  </w:num>
  <w:num w:numId="28" w16cid:durableId="1213616753">
    <w:abstractNumId w:val="34"/>
  </w:num>
  <w:num w:numId="29" w16cid:durableId="588732300">
    <w:abstractNumId w:val="22"/>
  </w:num>
  <w:num w:numId="30" w16cid:durableId="604460050">
    <w:abstractNumId w:val="29"/>
  </w:num>
  <w:num w:numId="31" w16cid:durableId="1678573993">
    <w:abstractNumId w:val="24"/>
  </w:num>
  <w:num w:numId="32" w16cid:durableId="678582064">
    <w:abstractNumId w:val="14"/>
  </w:num>
  <w:num w:numId="33" w16cid:durableId="2043749737">
    <w:abstractNumId w:val="0"/>
  </w:num>
  <w:num w:numId="34" w16cid:durableId="1205289137">
    <w:abstractNumId w:val="18"/>
  </w:num>
  <w:num w:numId="35" w16cid:durableId="53085276">
    <w:abstractNumId w:val="27"/>
  </w:num>
  <w:num w:numId="36" w16cid:durableId="201596638">
    <w:abstractNumId w:val="21"/>
  </w:num>
  <w:num w:numId="37" w16cid:durableId="626397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4F4"/>
    <w:rsid w:val="006409DA"/>
    <w:rsid w:val="006774F4"/>
    <w:rsid w:val="007B50E3"/>
    <w:rsid w:val="008B615E"/>
    <w:rsid w:val="009238DD"/>
    <w:rsid w:val="00BE63B5"/>
    <w:rsid w:val="00E423EB"/>
    <w:rsid w:val="00E5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F1505"/>
  <w15:chartTrackingRefBased/>
  <w15:docId w15:val="{4C0D2AB9-39C2-4D3B-A09C-340490A6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6774F4"/>
    <w:pPr>
      <w:suppressAutoHyphens/>
      <w:spacing w:after="130" w:line="281" w:lineRule="auto"/>
    </w:pPr>
    <w:rPr>
      <w:rFonts w:ascii="Montserrat" w:eastAsia="Montserrat" w:hAnsi="Montserrat" w:cs="Montserrat"/>
      <w:color w:val="1A1A1A"/>
      <w:kern w:val="0"/>
      <w:sz w:val="22"/>
      <w:szCs w:val="22"/>
      <w:lang w:val="en-CA" w:eastAsia="en-CA"/>
      <w14:ligatures w14:val="none"/>
    </w:rPr>
  </w:style>
  <w:style w:type="paragraph" w:styleId="Heading1">
    <w:name w:val="heading 1"/>
    <w:basedOn w:val="Normal"/>
    <w:next w:val="Normal"/>
    <w:link w:val="Heading1Char"/>
    <w:uiPriority w:val="9"/>
    <w:qFormat/>
    <w:rsid w:val="00677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77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7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7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77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4F4"/>
    <w:rPr>
      <w:rFonts w:eastAsiaTheme="majorEastAsia" w:cstheme="majorBidi"/>
      <w:color w:val="272727" w:themeColor="text1" w:themeTint="D8"/>
    </w:rPr>
  </w:style>
  <w:style w:type="paragraph" w:styleId="Title">
    <w:name w:val="Title"/>
    <w:basedOn w:val="Normal"/>
    <w:next w:val="Normal"/>
    <w:link w:val="TitleChar"/>
    <w:uiPriority w:val="10"/>
    <w:qFormat/>
    <w:rsid w:val="00677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4F4"/>
    <w:pPr>
      <w:spacing w:before="160"/>
      <w:jc w:val="center"/>
    </w:pPr>
    <w:rPr>
      <w:i/>
      <w:iCs/>
      <w:color w:val="404040" w:themeColor="text1" w:themeTint="BF"/>
    </w:rPr>
  </w:style>
  <w:style w:type="character" w:customStyle="1" w:styleId="QuoteChar">
    <w:name w:val="Quote Char"/>
    <w:basedOn w:val="DefaultParagraphFont"/>
    <w:link w:val="Quote"/>
    <w:uiPriority w:val="29"/>
    <w:rsid w:val="006774F4"/>
    <w:rPr>
      <w:i/>
      <w:iCs/>
      <w:color w:val="404040" w:themeColor="text1" w:themeTint="BF"/>
    </w:rPr>
  </w:style>
  <w:style w:type="paragraph" w:styleId="ListParagraph">
    <w:name w:val="List Paragraph"/>
    <w:basedOn w:val="Normal"/>
    <w:qFormat/>
    <w:rsid w:val="006774F4"/>
    <w:pPr>
      <w:ind w:left="720"/>
      <w:contextualSpacing/>
    </w:pPr>
  </w:style>
  <w:style w:type="character" w:styleId="IntenseEmphasis">
    <w:name w:val="Intense Emphasis"/>
    <w:basedOn w:val="DefaultParagraphFont"/>
    <w:uiPriority w:val="21"/>
    <w:qFormat/>
    <w:rsid w:val="006774F4"/>
    <w:rPr>
      <w:i/>
      <w:iCs/>
      <w:color w:val="2F5496" w:themeColor="accent1" w:themeShade="BF"/>
    </w:rPr>
  </w:style>
  <w:style w:type="paragraph" w:styleId="IntenseQuote">
    <w:name w:val="Intense Quote"/>
    <w:basedOn w:val="Normal"/>
    <w:next w:val="Normal"/>
    <w:link w:val="IntenseQuoteChar"/>
    <w:uiPriority w:val="30"/>
    <w:qFormat/>
    <w:rsid w:val="00677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4F4"/>
    <w:rPr>
      <w:i/>
      <w:iCs/>
      <w:color w:val="2F5496" w:themeColor="accent1" w:themeShade="BF"/>
    </w:rPr>
  </w:style>
  <w:style w:type="character" w:styleId="IntenseReference">
    <w:name w:val="Intense Reference"/>
    <w:basedOn w:val="DefaultParagraphFont"/>
    <w:uiPriority w:val="32"/>
    <w:qFormat/>
    <w:rsid w:val="006774F4"/>
    <w:rPr>
      <w:b/>
      <w:bCs/>
      <w:smallCaps/>
      <w:color w:val="2F5496" w:themeColor="accent1" w:themeShade="BF"/>
      <w:spacing w:val="5"/>
    </w:rPr>
  </w:style>
  <w:style w:type="character" w:styleId="Hyperlink">
    <w:name w:val="Hyperlink"/>
    <w:uiPriority w:val="99"/>
    <w:unhideWhenUsed/>
    <w:rsid w:val="006774F4"/>
    <w:rPr>
      <w:color w:val="0563C1"/>
      <w:u w:val="single"/>
    </w:rPr>
  </w:style>
  <w:style w:type="character" w:customStyle="1" w:styleId="FootnoteCharactersuser">
    <w:name w:val="Footnote Characters (user)"/>
    <w:uiPriority w:val="99"/>
    <w:semiHidden/>
    <w:unhideWhenUsed/>
    <w:qFormat/>
    <w:rsid w:val="006774F4"/>
    <w:rPr>
      <w:vertAlign w:val="superscript"/>
    </w:rPr>
  </w:style>
  <w:style w:type="character" w:customStyle="1" w:styleId="FootnoteCharacters">
    <w:name w:val="Footnote Characters"/>
    <w:qFormat/>
    <w:rsid w:val="006774F4"/>
    <w:rPr>
      <w:vertAlign w:val="superscript"/>
    </w:rPr>
  </w:style>
  <w:style w:type="character" w:styleId="FootnoteReference">
    <w:name w:val="footnote reference"/>
    <w:rsid w:val="006774F4"/>
    <w:rPr>
      <w:vertAlign w:val="superscript"/>
    </w:rPr>
  </w:style>
  <w:style w:type="character" w:customStyle="1" w:styleId="FootnoteTextChar">
    <w:name w:val="Footnote Text Char"/>
    <w:link w:val="FootnoteText"/>
    <w:uiPriority w:val="99"/>
    <w:semiHidden/>
    <w:unhideWhenUsed/>
    <w:qFormat/>
    <w:rsid w:val="006774F4"/>
    <w:rPr>
      <w:sz w:val="20"/>
      <w:szCs w:val="20"/>
    </w:rPr>
  </w:style>
  <w:style w:type="character" w:customStyle="1" w:styleId="EndnoteCharactersuser">
    <w:name w:val="Endnote Characters (user)"/>
    <w:uiPriority w:val="99"/>
    <w:semiHidden/>
    <w:unhideWhenUsed/>
    <w:qFormat/>
    <w:rsid w:val="006774F4"/>
    <w:rPr>
      <w:vertAlign w:val="superscript"/>
    </w:rPr>
  </w:style>
  <w:style w:type="character" w:customStyle="1" w:styleId="EndnoteCharacters">
    <w:name w:val="Endnote Characters"/>
    <w:qFormat/>
    <w:rsid w:val="006774F4"/>
    <w:rPr>
      <w:vertAlign w:val="superscript"/>
    </w:rPr>
  </w:style>
  <w:style w:type="character" w:styleId="EndnoteReference">
    <w:name w:val="endnote reference"/>
    <w:rsid w:val="006774F4"/>
    <w:rPr>
      <w:vertAlign w:val="superscript"/>
    </w:rPr>
  </w:style>
  <w:style w:type="character" w:customStyle="1" w:styleId="EndnoteTextChar">
    <w:name w:val="Endnote Text Char"/>
    <w:link w:val="EndnoteText"/>
    <w:uiPriority w:val="99"/>
    <w:semiHidden/>
    <w:unhideWhenUsed/>
    <w:qFormat/>
    <w:rsid w:val="006774F4"/>
    <w:rPr>
      <w:sz w:val="20"/>
      <w:szCs w:val="20"/>
    </w:rPr>
  </w:style>
  <w:style w:type="character" w:customStyle="1" w:styleId="HeaderChar">
    <w:name w:val="Header Char"/>
    <w:basedOn w:val="DefaultParagraphFont"/>
    <w:link w:val="Header"/>
    <w:uiPriority w:val="99"/>
    <w:qFormat/>
    <w:rsid w:val="006774F4"/>
  </w:style>
  <w:style w:type="character" w:customStyle="1" w:styleId="FooterChar">
    <w:name w:val="Footer Char"/>
    <w:basedOn w:val="DefaultParagraphFont"/>
    <w:link w:val="Footer"/>
    <w:uiPriority w:val="99"/>
    <w:qFormat/>
    <w:rsid w:val="006774F4"/>
  </w:style>
  <w:style w:type="character" w:styleId="UnresolvedMention">
    <w:name w:val="Unresolved Mention"/>
    <w:basedOn w:val="DefaultParagraphFont"/>
    <w:uiPriority w:val="99"/>
    <w:semiHidden/>
    <w:unhideWhenUsed/>
    <w:qFormat/>
    <w:rsid w:val="006774F4"/>
    <w:rPr>
      <w:color w:val="605E5C"/>
      <w:shd w:val="clear" w:color="auto" w:fill="E1DFDD"/>
    </w:rPr>
  </w:style>
  <w:style w:type="character" w:customStyle="1" w:styleId="IndexLink">
    <w:name w:val="Index Link"/>
    <w:qFormat/>
    <w:rsid w:val="006774F4"/>
  </w:style>
  <w:style w:type="paragraph" w:customStyle="1" w:styleId="Heading">
    <w:name w:val="Heading"/>
    <w:basedOn w:val="Normal"/>
    <w:next w:val="BodyText"/>
    <w:qFormat/>
    <w:rsid w:val="006774F4"/>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6774F4"/>
    <w:pPr>
      <w:spacing w:after="140" w:line="276" w:lineRule="auto"/>
    </w:pPr>
  </w:style>
  <w:style w:type="character" w:customStyle="1" w:styleId="BodyTextChar">
    <w:name w:val="Body Text Char"/>
    <w:basedOn w:val="DefaultParagraphFont"/>
    <w:link w:val="BodyText"/>
    <w:rsid w:val="006774F4"/>
    <w:rPr>
      <w:rFonts w:ascii="Montserrat" w:eastAsia="Montserrat" w:hAnsi="Montserrat" w:cs="Montserrat"/>
      <w:color w:val="1A1A1A"/>
      <w:kern w:val="0"/>
      <w:sz w:val="22"/>
      <w:szCs w:val="22"/>
      <w:lang w:val="en-CA" w:eastAsia="en-CA"/>
      <w14:ligatures w14:val="none"/>
    </w:rPr>
  </w:style>
  <w:style w:type="paragraph" w:styleId="List">
    <w:name w:val="List"/>
    <w:basedOn w:val="BodyText"/>
    <w:rsid w:val="006774F4"/>
    <w:rPr>
      <w:rFonts w:cs="Lohit Devanagari"/>
    </w:rPr>
  </w:style>
  <w:style w:type="paragraph" w:styleId="Caption">
    <w:name w:val="caption"/>
    <w:basedOn w:val="Normal"/>
    <w:qFormat/>
    <w:rsid w:val="006774F4"/>
    <w:pPr>
      <w:suppressLineNumbers/>
      <w:spacing w:before="120" w:after="120"/>
    </w:pPr>
    <w:rPr>
      <w:rFonts w:cs="Lohit Devanagari"/>
      <w:i/>
      <w:iCs/>
      <w:sz w:val="24"/>
      <w:szCs w:val="24"/>
    </w:rPr>
  </w:style>
  <w:style w:type="paragraph" w:customStyle="1" w:styleId="Index">
    <w:name w:val="Index"/>
    <w:basedOn w:val="Normal"/>
    <w:qFormat/>
    <w:rsid w:val="006774F4"/>
    <w:pPr>
      <w:suppressLineNumbers/>
    </w:pPr>
    <w:rPr>
      <w:rFonts w:cs="Lohit Devanagari"/>
    </w:rPr>
  </w:style>
  <w:style w:type="paragraph" w:customStyle="1" w:styleId="Strong1">
    <w:name w:val="Strong1"/>
    <w:basedOn w:val="Normal"/>
    <w:next w:val="Normal"/>
    <w:qFormat/>
    <w:rsid w:val="006774F4"/>
    <w:rPr>
      <w:b/>
      <w:bCs/>
    </w:rPr>
  </w:style>
  <w:style w:type="paragraph" w:styleId="FootnoteText">
    <w:name w:val="footnote text"/>
    <w:basedOn w:val="Normal"/>
    <w:link w:val="FootnoteTextChar"/>
    <w:uiPriority w:val="99"/>
    <w:semiHidden/>
    <w:unhideWhenUsed/>
    <w:rsid w:val="006774F4"/>
    <w:pPr>
      <w:spacing w:after="0" w:line="240" w:lineRule="auto"/>
    </w:pPr>
    <w:rPr>
      <w:rFonts w:asciiTheme="minorHAnsi" w:eastAsiaTheme="minorHAnsi" w:hAnsiTheme="minorHAnsi" w:cstheme="minorBidi"/>
      <w:color w:val="auto"/>
      <w:kern w:val="2"/>
      <w:sz w:val="20"/>
      <w:szCs w:val="20"/>
      <w:lang w:val="en-US" w:eastAsia="en-US"/>
      <w14:ligatures w14:val="standardContextual"/>
    </w:rPr>
  </w:style>
  <w:style w:type="character" w:customStyle="1" w:styleId="FootnoteTextChar1">
    <w:name w:val="Footnote Text Char1"/>
    <w:basedOn w:val="DefaultParagraphFont"/>
    <w:uiPriority w:val="99"/>
    <w:semiHidden/>
    <w:rsid w:val="006774F4"/>
    <w:rPr>
      <w:rFonts w:ascii="Montserrat" w:eastAsia="Montserrat" w:hAnsi="Montserrat" w:cs="Montserrat"/>
      <w:color w:val="1A1A1A"/>
      <w:kern w:val="0"/>
      <w:sz w:val="20"/>
      <w:szCs w:val="20"/>
      <w:lang w:val="en-CA" w:eastAsia="en-CA"/>
      <w14:ligatures w14:val="none"/>
    </w:rPr>
  </w:style>
  <w:style w:type="paragraph" w:styleId="EndnoteText">
    <w:name w:val="endnote text"/>
    <w:basedOn w:val="Normal"/>
    <w:link w:val="EndnoteTextChar"/>
    <w:uiPriority w:val="99"/>
    <w:semiHidden/>
    <w:unhideWhenUsed/>
    <w:rsid w:val="006774F4"/>
    <w:pPr>
      <w:spacing w:after="0" w:line="240" w:lineRule="auto"/>
    </w:pPr>
    <w:rPr>
      <w:rFonts w:asciiTheme="minorHAnsi" w:eastAsiaTheme="minorHAnsi" w:hAnsiTheme="minorHAnsi" w:cstheme="minorBidi"/>
      <w:color w:val="auto"/>
      <w:kern w:val="2"/>
      <w:sz w:val="20"/>
      <w:szCs w:val="20"/>
      <w:lang w:val="en-US" w:eastAsia="en-US"/>
      <w14:ligatures w14:val="standardContextual"/>
    </w:rPr>
  </w:style>
  <w:style w:type="character" w:customStyle="1" w:styleId="EndnoteTextChar1">
    <w:name w:val="Endnote Text Char1"/>
    <w:basedOn w:val="DefaultParagraphFont"/>
    <w:uiPriority w:val="99"/>
    <w:semiHidden/>
    <w:rsid w:val="006774F4"/>
    <w:rPr>
      <w:rFonts w:ascii="Montserrat" w:eastAsia="Montserrat" w:hAnsi="Montserrat" w:cs="Montserrat"/>
      <w:color w:val="1A1A1A"/>
      <w:kern w:val="0"/>
      <w:sz w:val="20"/>
      <w:szCs w:val="20"/>
      <w:lang w:val="en-CA" w:eastAsia="en-CA"/>
      <w14:ligatures w14:val="none"/>
    </w:rPr>
  </w:style>
  <w:style w:type="paragraph" w:customStyle="1" w:styleId="HeaderandFooter">
    <w:name w:val="Header and Footer"/>
    <w:basedOn w:val="Normal"/>
    <w:qFormat/>
    <w:rsid w:val="006774F4"/>
  </w:style>
  <w:style w:type="paragraph" w:styleId="Header">
    <w:name w:val="header"/>
    <w:basedOn w:val="Normal"/>
    <w:link w:val="HeaderChar"/>
    <w:uiPriority w:val="99"/>
    <w:unhideWhenUsed/>
    <w:rsid w:val="006774F4"/>
    <w:pPr>
      <w:tabs>
        <w:tab w:val="center" w:pos="4680"/>
        <w:tab w:val="right" w:pos="9360"/>
      </w:tabs>
      <w:spacing w:after="0" w:line="240" w:lineRule="auto"/>
    </w:pPr>
    <w:rPr>
      <w:rFonts w:asciiTheme="minorHAnsi" w:eastAsiaTheme="minorHAnsi" w:hAnsiTheme="minorHAnsi" w:cstheme="minorBidi"/>
      <w:color w:val="auto"/>
      <w:kern w:val="2"/>
      <w:sz w:val="24"/>
      <w:szCs w:val="24"/>
      <w:lang w:val="en-US" w:eastAsia="en-US"/>
      <w14:ligatures w14:val="standardContextual"/>
    </w:rPr>
  </w:style>
  <w:style w:type="character" w:customStyle="1" w:styleId="HeaderChar1">
    <w:name w:val="Header Char1"/>
    <w:basedOn w:val="DefaultParagraphFont"/>
    <w:uiPriority w:val="99"/>
    <w:semiHidden/>
    <w:rsid w:val="006774F4"/>
    <w:rPr>
      <w:rFonts w:ascii="Montserrat" w:eastAsia="Montserrat" w:hAnsi="Montserrat" w:cs="Montserrat"/>
      <w:color w:val="1A1A1A"/>
      <w:kern w:val="0"/>
      <w:sz w:val="22"/>
      <w:szCs w:val="22"/>
      <w:lang w:val="en-CA" w:eastAsia="en-CA"/>
      <w14:ligatures w14:val="none"/>
    </w:rPr>
  </w:style>
  <w:style w:type="paragraph" w:styleId="Footer">
    <w:name w:val="footer"/>
    <w:basedOn w:val="Normal"/>
    <w:link w:val="FooterChar"/>
    <w:uiPriority w:val="99"/>
    <w:unhideWhenUsed/>
    <w:rsid w:val="006774F4"/>
    <w:pPr>
      <w:tabs>
        <w:tab w:val="center" w:pos="4680"/>
        <w:tab w:val="right" w:pos="9360"/>
      </w:tabs>
      <w:spacing w:after="0" w:line="240" w:lineRule="auto"/>
    </w:pPr>
    <w:rPr>
      <w:rFonts w:asciiTheme="minorHAnsi" w:eastAsiaTheme="minorHAnsi" w:hAnsiTheme="minorHAnsi" w:cstheme="minorBidi"/>
      <w:color w:val="auto"/>
      <w:kern w:val="2"/>
      <w:sz w:val="24"/>
      <w:szCs w:val="24"/>
      <w:lang w:val="en-US" w:eastAsia="en-US"/>
      <w14:ligatures w14:val="standardContextual"/>
    </w:rPr>
  </w:style>
  <w:style w:type="character" w:customStyle="1" w:styleId="FooterChar1">
    <w:name w:val="Footer Char1"/>
    <w:basedOn w:val="DefaultParagraphFont"/>
    <w:uiPriority w:val="99"/>
    <w:semiHidden/>
    <w:rsid w:val="006774F4"/>
    <w:rPr>
      <w:rFonts w:ascii="Montserrat" w:eastAsia="Montserrat" w:hAnsi="Montserrat" w:cs="Montserrat"/>
      <w:color w:val="1A1A1A"/>
      <w:kern w:val="0"/>
      <w:sz w:val="22"/>
      <w:szCs w:val="22"/>
      <w:lang w:val="en-CA" w:eastAsia="en-CA"/>
      <w14:ligatures w14:val="none"/>
    </w:rPr>
  </w:style>
  <w:style w:type="paragraph" w:styleId="TOC1">
    <w:name w:val="toc 1"/>
    <w:basedOn w:val="Normal"/>
    <w:next w:val="Normal"/>
    <w:uiPriority w:val="39"/>
    <w:unhideWhenUsed/>
    <w:rsid w:val="006774F4"/>
    <w:pPr>
      <w:spacing w:after="100"/>
    </w:pPr>
  </w:style>
  <w:style w:type="paragraph" w:styleId="TOC2">
    <w:name w:val="toc 2"/>
    <w:basedOn w:val="Normal"/>
    <w:next w:val="Normal"/>
    <w:uiPriority w:val="39"/>
    <w:unhideWhenUsed/>
    <w:rsid w:val="006774F4"/>
    <w:pPr>
      <w:spacing w:after="100"/>
      <w:ind w:left="220"/>
    </w:pPr>
  </w:style>
  <w:style w:type="paragraph" w:styleId="TOC3">
    <w:name w:val="toc 3"/>
    <w:basedOn w:val="Normal"/>
    <w:next w:val="Normal"/>
    <w:autoRedefine/>
    <w:uiPriority w:val="39"/>
    <w:unhideWhenUsed/>
    <w:rsid w:val="006774F4"/>
    <w:pPr>
      <w:spacing w:after="100" w:line="278" w:lineRule="auto"/>
      <w:ind w:left="480"/>
    </w:pPr>
    <w:rPr>
      <w:rFonts w:asciiTheme="minorHAnsi" w:eastAsiaTheme="minorEastAsia" w:hAnsiTheme="minorHAnsi" w:cstheme="minorBidi"/>
      <w:color w:val="auto"/>
      <w:kern w:val="2"/>
      <w:sz w:val="24"/>
      <w:szCs w:val="24"/>
      <w14:ligatures w14:val="standardContextual"/>
    </w:rPr>
  </w:style>
  <w:style w:type="paragraph" w:styleId="TOC4">
    <w:name w:val="toc 4"/>
    <w:basedOn w:val="Normal"/>
    <w:next w:val="Normal"/>
    <w:autoRedefine/>
    <w:uiPriority w:val="39"/>
    <w:unhideWhenUsed/>
    <w:rsid w:val="006774F4"/>
    <w:pPr>
      <w:spacing w:after="100" w:line="278" w:lineRule="auto"/>
      <w:ind w:left="720"/>
    </w:pPr>
    <w:rPr>
      <w:rFonts w:asciiTheme="minorHAnsi" w:eastAsiaTheme="minorEastAsia" w:hAnsiTheme="minorHAnsi" w:cstheme="minorBidi"/>
      <w:color w:val="auto"/>
      <w:kern w:val="2"/>
      <w:sz w:val="24"/>
      <w:szCs w:val="24"/>
      <w14:ligatures w14:val="standardContextual"/>
    </w:rPr>
  </w:style>
  <w:style w:type="paragraph" w:styleId="TOC5">
    <w:name w:val="toc 5"/>
    <w:basedOn w:val="Normal"/>
    <w:next w:val="Normal"/>
    <w:autoRedefine/>
    <w:uiPriority w:val="39"/>
    <w:unhideWhenUsed/>
    <w:rsid w:val="006774F4"/>
    <w:pPr>
      <w:spacing w:after="100" w:line="278" w:lineRule="auto"/>
      <w:ind w:left="96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6774F4"/>
    <w:pPr>
      <w:spacing w:after="100" w:line="278" w:lineRule="auto"/>
      <w:ind w:left="120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6774F4"/>
    <w:pPr>
      <w:spacing w:after="100" w:line="278" w:lineRule="auto"/>
      <w:ind w:left="144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6774F4"/>
    <w:pPr>
      <w:spacing w:after="100" w:line="278" w:lineRule="auto"/>
      <w:ind w:left="168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6774F4"/>
    <w:pPr>
      <w:spacing w:after="100" w:line="278" w:lineRule="auto"/>
      <w:ind w:left="1920"/>
    </w:pPr>
    <w:rPr>
      <w:rFonts w:asciiTheme="minorHAnsi" w:eastAsiaTheme="minorEastAsia" w:hAnsiTheme="minorHAnsi" w:cstheme="minorBidi"/>
      <w:color w:val="auto"/>
      <w:kern w:val="2"/>
      <w:sz w:val="24"/>
      <w:szCs w:val="24"/>
      <w14:ligatures w14:val="standardContextual"/>
    </w:rPr>
  </w:style>
  <w:style w:type="table" w:styleId="TableGrid">
    <w:name w:val="Table Grid"/>
    <w:basedOn w:val="TableNormal"/>
    <w:uiPriority w:val="59"/>
    <w:rsid w:val="006774F4"/>
    <w:pPr>
      <w:suppressAutoHyphens/>
      <w:spacing w:after="0" w:line="240" w:lineRule="auto"/>
    </w:pPr>
    <w:rPr>
      <w:rFonts w:ascii="Montserrat" w:eastAsia="Montserrat" w:hAnsi="Montserrat" w:cs="Montserrat"/>
      <w:color w:val="1A1A1A"/>
      <w:kern w:val="0"/>
      <w:sz w:val="22"/>
      <w:szCs w:val="22"/>
      <w:lang w:val="en-CA" w:eastAsia="en-C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294eb2-109c-4026-ae1a-1e10d7b71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B813323758A044B98CB16A9BE2182E" ma:contentTypeVersion="10" ma:contentTypeDescription="Create a new document." ma:contentTypeScope="" ma:versionID="c25385b0afdea8a0667c55a493ab865c">
  <xsd:schema xmlns:xsd="http://www.w3.org/2001/XMLSchema" xmlns:xs="http://www.w3.org/2001/XMLSchema" xmlns:p="http://schemas.microsoft.com/office/2006/metadata/properties" xmlns:ns2="c5294eb2-109c-4026-ae1a-1e10d7b71260" targetNamespace="http://schemas.microsoft.com/office/2006/metadata/properties" ma:root="true" ma:fieldsID="122243d1bb17fc060b6ff8cc7275529f" ns2:_="">
    <xsd:import namespace="c5294eb2-109c-4026-ae1a-1e10d7b712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94eb2-109c-4026-ae1a-1e10d7b71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db02e7-4b76-4068-984a-186f00bd525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1ACA1A-0151-4BFB-AAB4-13089C25AFC1}">
  <ds:schemaRefs>
    <ds:schemaRef ds:uri="http://schemas.microsoft.com/office/2006/metadata/properties"/>
    <ds:schemaRef ds:uri="http://schemas.microsoft.com/office/infopath/2007/PartnerControls"/>
    <ds:schemaRef ds:uri="c5294eb2-109c-4026-ae1a-1e10d7b71260"/>
  </ds:schemaRefs>
</ds:datastoreItem>
</file>

<file path=customXml/itemProps2.xml><?xml version="1.0" encoding="utf-8"?>
<ds:datastoreItem xmlns:ds="http://schemas.openxmlformats.org/officeDocument/2006/customXml" ds:itemID="{D98E691C-EC50-4496-931B-7AC458141A27}">
  <ds:schemaRefs>
    <ds:schemaRef ds:uri="http://schemas.microsoft.com/sharepoint/v3/contenttype/forms"/>
  </ds:schemaRefs>
</ds:datastoreItem>
</file>

<file path=customXml/itemProps3.xml><?xml version="1.0" encoding="utf-8"?>
<ds:datastoreItem xmlns:ds="http://schemas.openxmlformats.org/officeDocument/2006/customXml" ds:itemID="{249DF044-7F93-4426-ABA0-41B97E6B9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94eb2-109c-4026-ae1a-1e10d7b71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18615</Words>
  <Characters>106107</Characters>
  <Application>Microsoft Office Word</Application>
  <DocSecurity>0</DocSecurity>
  <Lines>884</Lines>
  <Paragraphs>248</Paragraphs>
  <ScaleCrop>false</ScaleCrop>
  <Company/>
  <LinksUpToDate>false</LinksUpToDate>
  <CharactersWithSpaces>124474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  Zoughaib</dc:creator>
  <cp:keywords/>
  <dc:description/>
  <cp:lastModifiedBy>James Hansen</cp:lastModifiedBy>
  <cp:revision>2</cp:revision>
  <dcterms:created xsi:type="dcterms:W3CDTF">2026-09-10T15:44:00Z</dcterms:created>
  <dcterms:modified xsi:type="dcterms:W3CDTF">2026-09-10T15:44:00Z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0x0101008DB813323758A044B98CB16A9BE2182E</vt:lpwstr>
  </property>
  <property fmtid="{D5CDD505-2E9C-101B-9397-08002B2CF9AE}" pid="3" name="docLang">
    <vt:lpwstr>fr</vt:lpwstr>
  </property>
  <property fmtid="{D5CDD505-2E9C-101B-9397-08002B2CF9AE}" pid="4" name="MediaServiceImageTags">
    <vt:lpwstr/>
  </property>
</Properties>
</file>